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668DEF" w14:textId="77777777" w:rsidR="007356D6" w:rsidRDefault="00D7602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IGF 2024</w:t>
      </w:r>
    </w:p>
    <w:p w14:paraId="345FF38D" w14:textId="77777777" w:rsidR="007356D6" w:rsidRDefault="00D7602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Policy Network on Meaningful Access</w:t>
      </w:r>
    </w:p>
    <w:p w14:paraId="600F2716" w14:textId="77777777" w:rsidR="007356D6" w:rsidRDefault="007356D6">
      <w:pPr>
        <w:jc w:val="center"/>
        <w:rPr>
          <w:rFonts w:ascii="Times New Roman" w:eastAsia="Times New Roman" w:hAnsi="Times New Roman" w:cs="Times New Roman"/>
          <w:b/>
          <w:sz w:val="32"/>
          <w:szCs w:val="32"/>
        </w:rPr>
      </w:pPr>
    </w:p>
    <w:p w14:paraId="405B600B" w14:textId="77777777" w:rsidR="007356D6" w:rsidRDefault="00D7602D">
      <w:pPr>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First working draft report</w:t>
      </w:r>
    </w:p>
    <w:p w14:paraId="0C8052CD" w14:textId="77777777" w:rsidR="007356D6" w:rsidRDefault="00D7602D">
      <w:pPr>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As of </w:t>
      </w:r>
      <w:r w:rsidR="00BB0B18" w:rsidRPr="00BB0B18">
        <w:rPr>
          <w:rFonts w:ascii="Times New Roman" w:eastAsia="Times New Roman" w:hAnsi="Times New Roman" w:cs="Times New Roman"/>
          <w:b/>
          <w:color w:val="00B050"/>
          <w:sz w:val="32"/>
          <w:szCs w:val="32"/>
        </w:rPr>
        <w:t>14</w:t>
      </w:r>
      <w:r>
        <w:rPr>
          <w:rFonts w:ascii="Times New Roman" w:eastAsia="Times New Roman" w:hAnsi="Times New Roman" w:cs="Times New Roman"/>
          <w:b/>
          <w:color w:val="FF0000"/>
          <w:sz w:val="32"/>
          <w:szCs w:val="32"/>
        </w:rPr>
        <w:t>.11.2024</w:t>
      </w:r>
    </w:p>
    <w:p w14:paraId="31F53CEB" w14:textId="77777777" w:rsidR="007356D6" w:rsidRDefault="00D7602D">
      <w:pPr>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Open for comments until 21.11.2024</w:t>
      </w:r>
    </w:p>
    <w:p w14:paraId="282ED0EC" w14:textId="77777777" w:rsidR="007356D6" w:rsidRDefault="00D7602D">
      <w:pPr>
        <w:jc w:val="center"/>
        <w:rPr>
          <w:rFonts w:ascii="Times New Roman" w:eastAsia="Times New Roman" w:hAnsi="Times New Roman" w:cs="Times New Roman"/>
          <w:b/>
          <w:color w:val="FF0000"/>
          <w:sz w:val="32"/>
          <w:szCs w:val="32"/>
          <w:highlight w:val="yellow"/>
        </w:rPr>
      </w:pPr>
      <w:r>
        <w:rPr>
          <w:rFonts w:ascii="Times New Roman" w:eastAsia="Times New Roman" w:hAnsi="Times New Roman" w:cs="Times New Roman"/>
          <w:b/>
          <w:color w:val="FF0000"/>
          <w:sz w:val="32"/>
          <w:szCs w:val="32"/>
          <w:highlight w:val="yellow"/>
        </w:rPr>
        <w:t>Please use tracked changes for suggestions made directly into the text</w:t>
      </w:r>
    </w:p>
    <w:p w14:paraId="2711C780" w14:textId="77777777" w:rsidR="007356D6" w:rsidRDefault="007356D6">
      <w:pPr>
        <w:rPr>
          <w:rFonts w:ascii="Times New Roman" w:eastAsia="Times New Roman" w:hAnsi="Times New Roman" w:cs="Times New Roman"/>
          <w:b/>
        </w:rPr>
      </w:pPr>
    </w:p>
    <w:p w14:paraId="701F4433" w14:textId="77777777" w:rsidR="007356D6" w:rsidRDefault="00D7602D">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Table of Contents</w:t>
      </w:r>
    </w:p>
    <w:p w14:paraId="7A885C66" w14:textId="77777777" w:rsidR="007356D6" w:rsidRDefault="007356D6">
      <w:pPr>
        <w:rPr>
          <w:rFonts w:ascii="Times New Roman" w:eastAsia="Times New Roman" w:hAnsi="Times New Roman" w:cs="Times New Roman"/>
          <w:b/>
          <w:sz w:val="32"/>
          <w:szCs w:val="32"/>
        </w:rPr>
      </w:pPr>
    </w:p>
    <w:p w14:paraId="5C4DA944" w14:textId="77777777" w:rsidR="007356D6" w:rsidRDefault="007356D6">
      <w:pPr>
        <w:rPr>
          <w:rFonts w:ascii="Times New Roman" w:eastAsia="Times New Roman" w:hAnsi="Times New Roman" w:cs="Times New Roman"/>
          <w:b/>
          <w:sz w:val="32"/>
          <w:szCs w:val="32"/>
        </w:rPr>
      </w:pPr>
    </w:p>
    <w:sdt>
      <w:sdtPr>
        <w:id w:val="705605565"/>
        <w:docPartObj>
          <w:docPartGallery w:val="Table of Contents"/>
          <w:docPartUnique/>
        </w:docPartObj>
      </w:sdtPr>
      <w:sdtEndPr/>
      <w:sdtContent>
        <w:p w14:paraId="2A638B6B" w14:textId="77777777" w:rsidR="007356D6" w:rsidRDefault="00D7602D">
          <w:pPr>
            <w:widowControl w:val="0"/>
            <w:tabs>
              <w:tab w:val="right" w:leader="do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fvc4mjdtb6oe">
            <w:r>
              <w:rPr>
                <w:b/>
                <w:color w:val="000000"/>
              </w:rPr>
              <w:t>Executive Summary</w:t>
            </w:r>
            <w:r>
              <w:rPr>
                <w:b/>
                <w:color w:val="000000"/>
              </w:rPr>
              <w:tab/>
              <w:t>3</w:t>
            </w:r>
          </w:hyperlink>
        </w:p>
        <w:p w14:paraId="47E8490F" w14:textId="77777777" w:rsidR="007356D6" w:rsidRDefault="00D7602D">
          <w:pPr>
            <w:widowControl w:val="0"/>
            <w:tabs>
              <w:tab w:val="right" w:leader="dot" w:pos="12000"/>
            </w:tabs>
            <w:spacing w:before="60" w:line="240" w:lineRule="auto"/>
            <w:rPr>
              <w:b/>
              <w:color w:val="000000"/>
            </w:rPr>
          </w:pPr>
          <w:hyperlink w:anchor="_9jxhlyj9yoju">
            <w:r>
              <w:rPr>
                <w:b/>
                <w:color w:val="000000"/>
              </w:rPr>
              <w:t>List of Acronyms</w:t>
            </w:r>
            <w:r>
              <w:rPr>
                <w:b/>
                <w:color w:val="000000"/>
              </w:rPr>
              <w:tab/>
              <w:t>4</w:t>
            </w:r>
          </w:hyperlink>
        </w:p>
        <w:p w14:paraId="35479F57" w14:textId="77777777" w:rsidR="007356D6" w:rsidRDefault="00D7602D">
          <w:pPr>
            <w:widowControl w:val="0"/>
            <w:tabs>
              <w:tab w:val="right" w:leader="dot" w:pos="12000"/>
            </w:tabs>
            <w:spacing w:before="60" w:line="240" w:lineRule="auto"/>
            <w:rPr>
              <w:b/>
              <w:color w:val="000000"/>
            </w:rPr>
          </w:pPr>
          <w:hyperlink w:anchor="_t45aocgcg9tx">
            <w:r>
              <w:rPr>
                <w:b/>
                <w:color w:val="000000"/>
              </w:rPr>
              <w:t>1. Introduction</w:t>
            </w:r>
            <w:r>
              <w:rPr>
                <w:b/>
                <w:color w:val="000000"/>
              </w:rPr>
              <w:tab/>
              <w:t>5</w:t>
            </w:r>
          </w:hyperlink>
        </w:p>
        <w:p w14:paraId="17B88CBF" w14:textId="77777777" w:rsidR="007356D6" w:rsidRDefault="00D7602D">
          <w:pPr>
            <w:widowControl w:val="0"/>
            <w:tabs>
              <w:tab w:val="right" w:leader="dot" w:pos="12000"/>
            </w:tabs>
            <w:spacing w:before="60" w:line="240" w:lineRule="auto"/>
            <w:ind w:left="360"/>
            <w:rPr>
              <w:color w:val="000000"/>
            </w:rPr>
          </w:pPr>
          <w:hyperlink w:anchor="_y6mujb9v27mw">
            <w:r>
              <w:rPr>
                <w:color w:val="000000"/>
              </w:rPr>
              <w:t>About meaningful access</w:t>
            </w:r>
            <w:r>
              <w:rPr>
                <w:color w:val="000000"/>
              </w:rPr>
              <w:tab/>
              <w:t>5</w:t>
            </w:r>
          </w:hyperlink>
        </w:p>
        <w:p w14:paraId="1DFC4172" w14:textId="77777777" w:rsidR="007356D6" w:rsidRDefault="00D7602D">
          <w:pPr>
            <w:widowControl w:val="0"/>
            <w:tabs>
              <w:tab w:val="right" w:leader="dot" w:pos="12000"/>
            </w:tabs>
            <w:spacing w:before="60" w:line="240" w:lineRule="auto"/>
            <w:ind w:left="360"/>
            <w:rPr>
              <w:color w:val="000000"/>
            </w:rPr>
          </w:pPr>
          <w:hyperlink w:anchor="_qkuasnbu988f">
            <w:r>
              <w:rPr>
                <w:color w:val="000000"/>
              </w:rPr>
              <w:t>About the Internet Governance Forum (IGF)</w:t>
            </w:r>
            <w:r>
              <w:rPr>
                <w:color w:val="000000"/>
              </w:rPr>
              <w:tab/>
              <w:t>5</w:t>
            </w:r>
          </w:hyperlink>
        </w:p>
        <w:p w14:paraId="716785E2" w14:textId="77777777" w:rsidR="007356D6" w:rsidRDefault="00D7602D">
          <w:pPr>
            <w:widowControl w:val="0"/>
            <w:tabs>
              <w:tab w:val="right" w:leader="dot" w:pos="12000"/>
            </w:tabs>
            <w:spacing w:before="60" w:line="240" w:lineRule="auto"/>
            <w:ind w:left="360"/>
            <w:rPr>
              <w:color w:val="000000"/>
            </w:rPr>
          </w:pPr>
          <w:hyperlink w:anchor="_96oo88h1bxv6">
            <w:r>
              <w:rPr>
                <w:color w:val="000000"/>
              </w:rPr>
              <w:t>About the Policy Network on Meaningful Access (PNMA)</w:t>
            </w:r>
            <w:r>
              <w:rPr>
                <w:color w:val="000000"/>
              </w:rPr>
              <w:tab/>
              <w:t>5</w:t>
            </w:r>
          </w:hyperlink>
        </w:p>
        <w:p w14:paraId="2B881648" w14:textId="77777777" w:rsidR="007356D6" w:rsidRDefault="00D7602D">
          <w:pPr>
            <w:widowControl w:val="0"/>
            <w:tabs>
              <w:tab w:val="right" w:leader="dot" w:pos="12000"/>
            </w:tabs>
            <w:spacing w:before="60" w:line="240" w:lineRule="auto"/>
            <w:rPr>
              <w:b/>
              <w:color w:val="000000"/>
            </w:rPr>
          </w:pPr>
          <w:hyperlink w:anchor="_byj46d34dsgm">
            <w:r>
              <w:rPr>
                <w:b/>
                <w:color w:val="000000"/>
              </w:rPr>
              <w:t>2. The 2024 PNMA Process</w:t>
            </w:r>
            <w:r>
              <w:rPr>
                <w:b/>
                <w:color w:val="000000"/>
              </w:rPr>
              <w:tab/>
              <w:t>7</w:t>
            </w:r>
          </w:hyperlink>
        </w:p>
        <w:p w14:paraId="1ECB8048" w14:textId="77777777" w:rsidR="007356D6" w:rsidRDefault="00D7602D">
          <w:pPr>
            <w:widowControl w:val="0"/>
            <w:tabs>
              <w:tab w:val="right" w:leader="dot" w:pos="12000"/>
            </w:tabs>
            <w:spacing w:before="60" w:line="240" w:lineRule="auto"/>
            <w:ind w:left="360"/>
            <w:rPr>
              <w:color w:val="000000"/>
            </w:rPr>
          </w:pPr>
          <w:hyperlink w:anchor="_xafxcnwk54y2">
            <w:r>
              <w:rPr>
                <w:color w:val="000000"/>
              </w:rPr>
              <w:t>Goals</w:t>
            </w:r>
            <w:r>
              <w:rPr>
                <w:color w:val="000000"/>
              </w:rPr>
              <w:tab/>
              <w:t>7</w:t>
            </w:r>
          </w:hyperlink>
        </w:p>
        <w:p w14:paraId="0004FF82" w14:textId="77777777" w:rsidR="007356D6" w:rsidRDefault="00D7602D">
          <w:pPr>
            <w:widowControl w:val="0"/>
            <w:tabs>
              <w:tab w:val="right" w:leader="dot" w:pos="12000"/>
            </w:tabs>
            <w:spacing w:before="60" w:line="240" w:lineRule="auto"/>
            <w:ind w:left="360"/>
            <w:rPr>
              <w:color w:val="000000"/>
            </w:rPr>
          </w:pPr>
          <w:hyperlink w:anchor="_7w4ccd4o182">
            <w:r>
              <w:rPr>
                <w:color w:val="000000"/>
              </w:rPr>
              <w:t>Priorities</w:t>
            </w:r>
            <w:r>
              <w:rPr>
                <w:color w:val="000000"/>
              </w:rPr>
              <w:tab/>
              <w:t>8</w:t>
            </w:r>
          </w:hyperlink>
        </w:p>
        <w:p w14:paraId="5ACADE4A" w14:textId="77777777" w:rsidR="007356D6" w:rsidRDefault="00D7602D">
          <w:pPr>
            <w:widowControl w:val="0"/>
            <w:tabs>
              <w:tab w:val="right" w:leader="dot" w:pos="12000"/>
            </w:tabs>
            <w:spacing w:before="60" w:line="240" w:lineRule="auto"/>
            <w:ind w:left="360"/>
            <w:rPr>
              <w:color w:val="000000"/>
            </w:rPr>
          </w:pPr>
          <w:hyperlink w:anchor="_ql9oprhrx7hj">
            <w:r>
              <w:rPr>
                <w:color w:val="000000"/>
              </w:rPr>
              <w:t>Focus areas</w:t>
            </w:r>
            <w:r>
              <w:rPr>
                <w:color w:val="000000"/>
              </w:rPr>
              <w:tab/>
              <w:t>8</w:t>
            </w:r>
          </w:hyperlink>
        </w:p>
        <w:p w14:paraId="33BEA257" w14:textId="77777777" w:rsidR="007356D6" w:rsidRDefault="00D7602D">
          <w:pPr>
            <w:widowControl w:val="0"/>
            <w:tabs>
              <w:tab w:val="right" w:leader="dot" w:pos="12000"/>
            </w:tabs>
            <w:spacing w:before="60" w:line="240" w:lineRule="auto"/>
            <w:ind w:left="360"/>
            <w:rPr>
              <w:color w:val="000000"/>
            </w:rPr>
          </w:pPr>
          <w:hyperlink w:anchor="_nwn29fv5ihqj">
            <w:r>
              <w:rPr>
                <w:color w:val="000000"/>
              </w:rPr>
              <w:t>Methodology</w:t>
            </w:r>
            <w:r>
              <w:rPr>
                <w:color w:val="000000"/>
              </w:rPr>
              <w:tab/>
              <w:t>9</w:t>
            </w:r>
          </w:hyperlink>
        </w:p>
        <w:p w14:paraId="3366A2B2" w14:textId="77777777" w:rsidR="007356D6" w:rsidRDefault="00D7602D">
          <w:pPr>
            <w:widowControl w:val="0"/>
            <w:tabs>
              <w:tab w:val="right" w:leader="dot" w:pos="12000"/>
            </w:tabs>
            <w:spacing w:before="60" w:line="240" w:lineRule="auto"/>
            <w:ind w:left="360"/>
            <w:rPr>
              <w:color w:val="000000"/>
            </w:rPr>
          </w:pPr>
          <w:hyperlink w:anchor="_zghi5e5rgtce">
            <w:r>
              <w:rPr>
                <w:color w:val="000000"/>
              </w:rPr>
              <w:t>Planned outputs</w:t>
            </w:r>
            <w:r>
              <w:rPr>
                <w:color w:val="000000"/>
              </w:rPr>
              <w:tab/>
              <w:t>10</w:t>
            </w:r>
          </w:hyperlink>
        </w:p>
        <w:p w14:paraId="037C5E42" w14:textId="77777777" w:rsidR="007356D6" w:rsidRDefault="00D7602D">
          <w:pPr>
            <w:widowControl w:val="0"/>
            <w:tabs>
              <w:tab w:val="right" w:leader="dot" w:pos="12000"/>
            </w:tabs>
            <w:spacing w:before="60" w:line="240" w:lineRule="auto"/>
            <w:rPr>
              <w:b/>
              <w:color w:val="000000"/>
            </w:rPr>
          </w:pPr>
          <w:hyperlink w:anchor="_ptu5iddbjkcp">
            <w:r>
              <w:rPr>
                <w:b/>
                <w:color w:val="000000"/>
              </w:rPr>
              <w:t>3. The Public Debate on Meaningful Access</w:t>
            </w:r>
            <w:r>
              <w:rPr>
                <w:b/>
                <w:color w:val="000000"/>
              </w:rPr>
              <w:tab/>
              <w:t>11</w:t>
            </w:r>
          </w:hyperlink>
        </w:p>
        <w:p w14:paraId="5538CA6A" w14:textId="77777777" w:rsidR="007356D6" w:rsidRDefault="00D7602D">
          <w:pPr>
            <w:widowControl w:val="0"/>
            <w:tabs>
              <w:tab w:val="right" w:leader="dot" w:pos="12000"/>
            </w:tabs>
            <w:spacing w:before="60" w:line="240" w:lineRule="auto"/>
            <w:ind w:left="360"/>
            <w:rPr>
              <w:color w:val="000000"/>
            </w:rPr>
          </w:pPr>
          <w:hyperlink w:anchor="_qfjnotuuwa5v">
            <w:r>
              <w:rPr>
                <w:color w:val="000000"/>
              </w:rPr>
              <w:t>3.1. Literature on Meaningful Access: a 2021-2024 list endorsed by the PNMA</w:t>
            </w:r>
            <w:r>
              <w:rPr>
                <w:color w:val="000000"/>
              </w:rPr>
              <w:tab/>
              <w:t>11</w:t>
            </w:r>
          </w:hyperlink>
        </w:p>
        <w:p w14:paraId="7EBA2670" w14:textId="77777777" w:rsidR="007356D6" w:rsidRDefault="00D7602D">
          <w:pPr>
            <w:widowControl w:val="0"/>
            <w:tabs>
              <w:tab w:val="right" w:leader="dot" w:pos="12000"/>
            </w:tabs>
            <w:spacing w:before="60" w:line="240" w:lineRule="auto"/>
            <w:ind w:left="360"/>
            <w:rPr>
              <w:color w:val="000000"/>
            </w:rPr>
          </w:pPr>
          <w:hyperlink w:anchor="_fwespwpms4xt">
            <w:r>
              <w:rPr>
                <w:color w:val="000000"/>
              </w:rPr>
              <w:t>3.2. The Global Digital Compact: Mentions to Meaningful Access</w:t>
            </w:r>
            <w:r>
              <w:rPr>
                <w:color w:val="000000"/>
              </w:rPr>
              <w:tab/>
              <w:t>11</w:t>
            </w:r>
          </w:hyperlink>
        </w:p>
        <w:p w14:paraId="46618009" w14:textId="77777777" w:rsidR="007356D6" w:rsidRDefault="00D7602D">
          <w:pPr>
            <w:widowControl w:val="0"/>
            <w:tabs>
              <w:tab w:val="right" w:leader="dot" w:pos="12000"/>
            </w:tabs>
            <w:spacing w:before="60" w:line="240" w:lineRule="auto"/>
            <w:ind w:left="360"/>
            <w:rPr>
              <w:color w:val="000000"/>
            </w:rPr>
          </w:pPr>
          <w:hyperlink w:anchor="_kgfnxylpoh1y">
            <w:r>
              <w:rPr>
                <w:color w:val="000000"/>
              </w:rPr>
              <w:t>3.3. Revisiting the 2023 PNMA Key Messages and Considerations</w:t>
            </w:r>
            <w:r>
              <w:rPr>
                <w:color w:val="000000"/>
              </w:rPr>
              <w:tab/>
              <w:t>11</w:t>
            </w:r>
          </w:hyperlink>
        </w:p>
        <w:p w14:paraId="2579C219" w14:textId="77777777" w:rsidR="007356D6" w:rsidRDefault="00D7602D">
          <w:pPr>
            <w:widowControl w:val="0"/>
            <w:tabs>
              <w:tab w:val="right" w:leader="dot" w:pos="12000"/>
            </w:tabs>
            <w:spacing w:before="60" w:line="240" w:lineRule="auto"/>
            <w:ind w:left="360"/>
            <w:rPr>
              <w:color w:val="000000"/>
            </w:rPr>
          </w:pPr>
          <w:hyperlink w:anchor="_j7cumsrnwct9">
            <w:r>
              <w:rPr>
                <w:color w:val="000000"/>
              </w:rPr>
              <w:t>3.3.1. On Connectivity</w:t>
            </w:r>
            <w:r>
              <w:rPr>
                <w:color w:val="000000"/>
              </w:rPr>
              <w:tab/>
              <w:t>12</w:t>
            </w:r>
          </w:hyperlink>
        </w:p>
        <w:p w14:paraId="4B17F0FA" w14:textId="77777777" w:rsidR="007356D6" w:rsidRDefault="00D7602D">
          <w:pPr>
            <w:widowControl w:val="0"/>
            <w:tabs>
              <w:tab w:val="right" w:leader="dot" w:pos="12000"/>
            </w:tabs>
            <w:spacing w:before="60" w:line="240" w:lineRule="auto"/>
            <w:ind w:left="360"/>
            <w:rPr>
              <w:color w:val="000000"/>
            </w:rPr>
          </w:pPr>
          <w:hyperlink w:anchor="_o3vk4vskhbrn">
            <w:r>
              <w:rPr>
                <w:color w:val="000000"/>
              </w:rPr>
              <w:t>3.3.2. On Digital Inclusion</w:t>
            </w:r>
            <w:r>
              <w:rPr>
                <w:color w:val="000000"/>
              </w:rPr>
              <w:tab/>
              <w:t>12</w:t>
            </w:r>
          </w:hyperlink>
        </w:p>
        <w:p w14:paraId="708493FD" w14:textId="77777777" w:rsidR="007356D6" w:rsidRDefault="00D7602D">
          <w:pPr>
            <w:widowControl w:val="0"/>
            <w:tabs>
              <w:tab w:val="right" w:leader="dot" w:pos="12000"/>
            </w:tabs>
            <w:spacing w:before="60" w:line="240" w:lineRule="auto"/>
            <w:ind w:left="360"/>
            <w:rPr>
              <w:color w:val="000000"/>
            </w:rPr>
          </w:pPr>
          <w:hyperlink w:anchor="_jzattgopg4qq">
            <w:r>
              <w:rPr>
                <w:color w:val="000000"/>
              </w:rPr>
              <w:t>3.3.3. On Capacity Development</w:t>
            </w:r>
            <w:r>
              <w:rPr>
                <w:color w:val="000000"/>
              </w:rPr>
              <w:tab/>
              <w:t>12</w:t>
            </w:r>
          </w:hyperlink>
        </w:p>
        <w:p w14:paraId="292E43B4" w14:textId="77777777" w:rsidR="007356D6" w:rsidRDefault="00D7602D">
          <w:pPr>
            <w:widowControl w:val="0"/>
            <w:tabs>
              <w:tab w:val="right" w:leader="dot" w:pos="12000"/>
            </w:tabs>
            <w:spacing w:before="60" w:line="240" w:lineRule="auto"/>
            <w:rPr>
              <w:b/>
              <w:color w:val="000000"/>
            </w:rPr>
          </w:pPr>
          <w:hyperlink w:anchor="_tl4ilusd9h76">
            <w:r>
              <w:rPr>
                <w:b/>
                <w:color w:val="000000"/>
              </w:rPr>
              <w:t>4. 2024 PNMA Focus Areas: An Incremental Work</w:t>
            </w:r>
            <w:r>
              <w:rPr>
                <w:b/>
                <w:color w:val="000000"/>
              </w:rPr>
              <w:tab/>
              <w:t>13</w:t>
            </w:r>
          </w:hyperlink>
        </w:p>
        <w:p w14:paraId="6EE80E5B" w14:textId="77777777" w:rsidR="007356D6" w:rsidRDefault="00D7602D">
          <w:pPr>
            <w:widowControl w:val="0"/>
            <w:tabs>
              <w:tab w:val="right" w:leader="dot" w:pos="12000"/>
            </w:tabs>
            <w:spacing w:before="60" w:line="240" w:lineRule="auto"/>
            <w:ind w:left="360"/>
            <w:rPr>
              <w:color w:val="000000"/>
            </w:rPr>
          </w:pPr>
          <w:hyperlink w:anchor="_qpn69o9f4uju">
            <w:r>
              <w:rPr>
                <w:color w:val="000000"/>
              </w:rPr>
              <w:t>4.1. Exploring Connectivity</w:t>
            </w:r>
            <w:r>
              <w:rPr>
                <w:color w:val="000000"/>
              </w:rPr>
              <w:tab/>
              <w:t>13</w:t>
            </w:r>
          </w:hyperlink>
        </w:p>
        <w:p w14:paraId="577B9B37" w14:textId="77777777" w:rsidR="007356D6" w:rsidRDefault="00D7602D">
          <w:pPr>
            <w:widowControl w:val="0"/>
            <w:tabs>
              <w:tab w:val="right" w:leader="dot" w:pos="12000"/>
            </w:tabs>
            <w:spacing w:before="60" w:line="240" w:lineRule="auto"/>
            <w:ind w:left="360"/>
            <w:rPr>
              <w:color w:val="000000"/>
            </w:rPr>
          </w:pPr>
          <w:hyperlink w:anchor="_irzvzjln7cle">
            <w:r>
              <w:rPr>
                <w:color w:val="000000"/>
              </w:rPr>
              <w:t>4.2. Exploring Digital inclusion</w:t>
            </w:r>
            <w:r>
              <w:rPr>
                <w:color w:val="000000"/>
              </w:rPr>
              <w:tab/>
              <w:t>21</w:t>
            </w:r>
          </w:hyperlink>
        </w:p>
        <w:p w14:paraId="3BFE6506" w14:textId="77777777" w:rsidR="007356D6" w:rsidRDefault="00D7602D">
          <w:pPr>
            <w:widowControl w:val="0"/>
            <w:tabs>
              <w:tab w:val="right" w:leader="dot" w:pos="12000"/>
            </w:tabs>
            <w:spacing w:before="60" w:line="240" w:lineRule="auto"/>
            <w:ind w:left="360"/>
            <w:rPr>
              <w:color w:val="000000"/>
            </w:rPr>
          </w:pPr>
          <w:hyperlink w:anchor="_j2z2zb8yeil5">
            <w:r>
              <w:rPr>
                <w:color w:val="000000"/>
              </w:rPr>
              <w:t>4.3. Exploring Capacity Development</w:t>
            </w:r>
            <w:r>
              <w:rPr>
                <w:color w:val="000000"/>
              </w:rPr>
              <w:tab/>
              <w:t>30</w:t>
            </w:r>
          </w:hyperlink>
        </w:p>
        <w:p w14:paraId="29765B11" w14:textId="77777777" w:rsidR="007356D6" w:rsidRDefault="00D7602D">
          <w:pPr>
            <w:widowControl w:val="0"/>
            <w:tabs>
              <w:tab w:val="right" w:leader="dot" w:pos="12000"/>
            </w:tabs>
            <w:spacing w:before="60" w:line="240" w:lineRule="auto"/>
            <w:ind w:left="360"/>
            <w:rPr>
              <w:color w:val="000000"/>
            </w:rPr>
          </w:pPr>
          <w:hyperlink w:anchor="_p682b7lct1z">
            <w:r>
              <w:rPr>
                <w:color w:val="000000"/>
              </w:rPr>
              <w:t>4.3.1. Evaluati</w:t>
            </w:r>
            <w:r>
              <w:rPr>
                <w:color w:val="000000"/>
              </w:rPr>
              <w:t>on of selected new best practices</w:t>
            </w:r>
            <w:r>
              <w:rPr>
                <w:color w:val="000000"/>
              </w:rPr>
              <w:tab/>
              <w:t>30</w:t>
            </w:r>
          </w:hyperlink>
        </w:p>
        <w:p w14:paraId="3C906462" w14:textId="77777777" w:rsidR="007356D6" w:rsidRDefault="00D7602D">
          <w:pPr>
            <w:widowControl w:val="0"/>
            <w:tabs>
              <w:tab w:val="right" w:leader="dot" w:pos="12000"/>
            </w:tabs>
            <w:spacing w:before="60" w:line="240" w:lineRule="auto"/>
            <w:ind w:left="360"/>
            <w:rPr>
              <w:color w:val="000000"/>
            </w:rPr>
          </w:pPr>
          <w:hyperlink w:anchor="_j9ndsj3vgrlp">
            <w:r>
              <w:rPr>
                <w:color w:val="000000"/>
              </w:rPr>
              <w:t>4.3.2. Monitoring of the implementation of best practices experiences identified in 2023 and in previous years</w:t>
            </w:r>
            <w:r>
              <w:rPr>
                <w:color w:val="000000"/>
              </w:rPr>
              <w:tab/>
              <w:t>30</w:t>
            </w:r>
          </w:hyperlink>
        </w:p>
        <w:p w14:paraId="0A67C8D7" w14:textId="77777777" w:rsidR="007356D6" w:rsidRDefault="00D7602D">
          <w:pPr>
            <w:widowControl w:val="0"/>
            <w:tabs>
              <w:tab w:val="right" w:leader="dot" w:pos="12000"/>
            </w:tabs>
            <w:spacing w:before="60" w:line="240" w:lineRule="auto"/>
            <w:rPr>
              <w:b/>
              <w:color w:val="000000"/>
            </w:rPr>
          </w:pPr>
          <w:hyperlink w:anchor="_lyrtxkcaw1fb">
            <w:r>
              <w:rPr>
                <w:b/>
                <w:color w:val="000000"/>
              </w:rPr>
              <w:t>5. Collaboration streams within t</w:t>
            </w:r>
            <w:r>
              <w:rPr>
                <w:b/>
                <w:color w:val="000000"/>
              </w:rPr>
              <w:t>he IGF</w:t>
            </w:r>
            <w:r>
              <w:rPr>
                <w:b/>
                <w:color w:val="000000"/>
              </w:rPr>
              <w:tab/>
              <w:t>34</w:t>
            </w:r>
          </w:hyperlink>
        </w:p>
        <w:p w14:paraId="4A908D49" w14:textId="77777777" w:rsidR="007356D6" w:rsidRDefault="00D7602D">
          <w:pPr>
            <w:widowControl w:val="0"/>
            <w:tabs>
              <w:tab w:val="right" w:leader="dot" w:pos="12000"/>
            </w:tabs>
            <w:spacing w:before="60" w:line="240" w:lineRule="auto"/>
            <w:ind w:left="360"/>
            <w:rPr>
              <w:color w:val="000000"/>
            </w:rPr>
          </w:pPr>
          <w:hyperlink w:anchor="_ay7zeb3c49pv">
            <w:r>
              <w:rPr>
                <w:color w:val="000000"/>
              </w:rPr>
              <w:t>5.1. IGF Leadership Panel</w:t>
            </w:r>
            <w:r>
              <w:rPr>
                <w:color w:val="000000"/>
              </w:rPr>
              <w:tab/>
              <w:t>34</w:t>
            </w:r>
          </w:hyperlink>
        </w:p>
        <w:p w14:paraId="268917AA" w14:textId="77777777" w:rsidR="007356D6" w:rsidRDefault="00D7602D">
          <w:pPr>
            <w:widowControl w:val="0"/>
            <w:tabs>
              <w:tab w:val="right" w:leader="dot" w:pos="12000"/>
            </w:tabs>
            <w:spacing w:before="60" w:line="240" w:lineRule="auto"/>
            <w:ind w:left="360"/>
            <w:rPr>
              <w:color w:val="000000"/>
            </w:rPr>
          </w:pPr>
          <w:hyperlink w:anchor="_ffpfa4bafqib">
            <w:r>
              <w:rPr>
                <w:color w:val="000000"/>
              </w:rPr>
              <w:t>5.2. Intersessional work with Youth IGF, DCs, and/or NRIs</w:t>
            </w:r>
            <w:r>
              <w:rPr>
                <w:color w:val="000000"/>
              </w:rPr>
              <w:tab/>
              <w:t>34</w:t>
            </w:r>
          </w:hyperlink>
        </w:p>
        <w:p w14:paraId="745DAF0B" w14:textId="77777777" w:rsidR="007356D6" w:rsidRDefault="00D7602D">
          <w:pPr>
            <w:widowControl w:val="0"/>
            <w:tabs>
              <w:tab w:val="right" w:leader="dot" w:pos="12000"/>
            </w:tabs>
            <w:spacing w:before="60" w:line="240" w:lineRule="auto"/>
            <w:ind w:left="360"/>
            <w:rPr>
              <w:color w:val="000000"/>
            </w:rPr>
          </w:pPr>
          <w:hyperlink w:anchor="_gciunw7vsisk">
            <w:r>
              <w:rPr>
                <w:color w:val="000000"/>
              </w:rPr>
              <w:t>5.3. An effective contribution to other related UN processes: GDC and Summit of the Future</w:t>
            </w:r>
            <w:r>
              <w:rPr>
                <w:color w:val="000000"/>
              </w:rPr>
              <w:tab/>
              <w:t>34</w:t>
            </w:r>
          </w:hyperlink>
        </w:p>
        <w:p w14:paraId="4911347A" w14:textId="77777777" w:rsidR="007356D6" w:rsidRDefault="00D7602D">
          <w:pPr>
            <w:widowControl w:val="0"/>
            <w:tabs>
              <w:tab w:val="right" w:leader="dot" w:pos="12000"/>
            </w:tabs>
            <w:spacing w:before="60" w:line="240" w:lineRule="auto"/>
            <w:ind w:left="360"/>
            <w:rPr>
              <w:color w:val="000000"/>
            </w:rPr>
          </w:pPr>
          <w:hyperlink w:anchor="_ffsp3tqzt0ek">
            <w:r>
              <w:rPr>
                <w:color w:val="000000"/>
              </w:rPr>
              <w:t>6.1. ITU</w:t>
            </w:r>
            <w:r>
              <w:rPr>
                <w:color w:val="000000"/>
              </w:rPr>
              <w:tab/>
              <w:t>35</w:t>
            </w:r>
          </w:hyperlink>
        </w:p>
        <w:p w14:paraId="34171359" w14:textId="77777777" w:rsidR="007356D6" w:rsidRDefault="00D7602D">
          <w:pPr>
            <w:widowControl w:val="0"/>
            <w:tabs>
              <w:tab w:val="right" w:leader="dot" w:pos="12000"/>
            </w:tabs>
            <w:spacing w:before="60" w:line="240" w:lineRule="auto"/>
            <w:ind w:left="360"/>
            <w:rPr>
              <w:color w:val="000000"/>
            </w:rPr>
          </w:pPr>
          <w:hyperlink w:anchor="_9dwhugsft5im">
            <w:r>
              <w:rPr>
                <w:color w:val="000000"/>
              </w:rPr>
              <w:t>6.2. WAN-INFRA</w:t>
            </w:r>
            <w:r>
              <w:rPr>
                <w:color w:val="000000"/>
              </w:rPr>
              <w:tab/>
              <w:t>41</w:t>
            </w:r>
          </w:hyperlink>
        </w:p>
        <w:p w14:paraId="744E0DCD" w14:textId="77777777" w:rsidR="007356D6" w:rsidRDefault="00D7602D">
          <w:pPr>
            <w:widowControl w:val="0"/>
            <w:tabs>
              <w:tab w:val="right" w:leader="dot" w:pos="12000"/>
            </w:tabs>
            <w:spacing w:before="60" w:line="240" w:lineRule="auto"/>
            <w:ind w:left="360"/>
            <w:rPr>
              <w:color w:val="000000"/>
            </w:rPr>
          </w:pPr>
          <w:hyperlink w:anchor="_vxs44dyqs7l5">
            <w:r>
              <w:rPr>
                <w:color w:val="000000"/>
              </w:rPr>
              <w:t>6.3. WIPO</w:t>
            </w:r>
            <w:r>
              <w:rPr>
                <w:color w:val="000000"/>
              </w:rPr>
              <w:tab/>
              <w:t>43</w:t>
            </w:r>
          </w:hyperlink>
        </w:p>
        <w:p w14:paraId="717474D2" w14:textId="77777777" w:rsidR="007356D6" w:rsidRDefault="00D7602D">
          <w:pPr>
            <w:widowControl w:val="0"/>
            <w:tabs>
              <w:tab w:val="right" w:leader="dot" w:pos="12000"/>
            </w:tabs>
            <w:spacing w:before="60" w:line="240" w:lineRule="auto"/>
            <w:ind w:left="360"/>
            <w:rPr>
              <w:color w:val="000000"/>
            </w:rPr>
          </w:pPr>
          <w:hyperlink w:anchor="_zh6sfnk1rlss">
            <w:r>
              <w:rPr>
                <w:color w:val="000000"/>
              </w:rPr>
              <w:t>6.4. ICANN</w:t>
            </w:r>
            <w:r>
              <w:rPr>
                <w:color w:val="000000"/>
              </w:rPr>
              <w:tab/>
              <w:t>45</w:t>
            </w:r>
          </w:hyperlink>
        </w:p>
        <w:p w14:paraId="1BB2862A" w14:textId="77777777" w:rsidR="007356D6" w:rsidRDefault="00D7602D">
          <w:pPr>
            <w:widowControl w:val="0"/>
            <w:tabs>
              <w:tab w:val="right" w:leader="dot" w:pos="12000"/>
            </w:tabs>
            <w:spacing w:before="60" w:line="240" w:lineRule="auto"/>
            <w:ind w:left="360"/>
            <w:rPr>
              <w:color w:val="000000"/>
            </w:rPr>
          </w:pPr>
          <w:hyperlink w:anchor="_p2758dg1mwkc">
            <w:r>
              <w:rPr>
                <w:color w:val="000000"/>
              </w:rPr>
              <w:t>6.5. UNDESA</w:t>
            </w:r>
            <w:r>
              <w:rPr>
                <w:color w:val="000000"/>
              </w:rPr>
              <w:tab/>
              <w:t>46</w:t>
            </w:r>
          </w:hyperlink>
        </w:p>
        <w:p w14:paraId="2AD1C610" w14:textId="77777777" w:rsidR="007356D6" w:rsidRDefault="00D7602D">
          <w:pPr>
            <w:widowControl w:val="0"/>
            <w:tabs>
              <w:tab w:val="right" w:leader="dot" w:pos="12000"/>
            </w:tabs>
            <w:spacing w:before="60" w:line="240" w:lineRule="auto"/>
            <w:rPr>
              <w:b/>
              <w:color w:val="000000"/>
            </w:rPr>
          </w:pPr>
          <w:hyperlink w:anchor="_nvr87nqv2c0o">
            <w:r>
              <w:rPr>
                <w:b/>
                <w:color w:val="000000"/>
              </w:rPr>
              <w:t>7. Looking ahead</w:t>
            </w:r>
            <w:r>
              <w:rPr>
                <w:b/>
                <w:color w:val="000000"/>
              </w:rPr>
              <w:tab/>
              <w:t>47</w:t>
            </w:r>
          </w:hyperlink>
        </w:p>
        <w:p w14:paraId="4CA80E42" w14:textId="77777777" w:rsidR="007356D6" w:rsidRDefault="00D7602D">
          <w:pPr>
            <w:widowControl w:val="0"/>
            <w:tabs>
              <w:tab w:val="right" w:leader="dot" w:pos="12000"/>
            </w:tabs>
            <w:spacing w:before="60" w:line="240" w:lineRule="auto"/>
            <w:ind w:left="360"/>
            <w:rPr>
              <w:color w:val="000000"/>
            </w:rPr>
          </w:pPr>
          <w:hyperlink w:anchor="_jeypcht9mmc2">
            <w:r>
              <w:rPr>
                <w:color w:val="000000"/>
              </w:rPr>
              <w:t>7.1. Connecting the dots with the IGF Community and IGF 2024 Themes</w:t>
            </w:r>
            <w:r>
              <w:rPr>
                <w:color w:val="000000"/>
              </w:rPr>
              <w:tab/>
              <w:t>47</w:t>
            </w:r>
          </w:hyperlink>
        </w:p>
        <w:p w14:paraId="6637C786" w14:textId="77777777" w:rsidR="007356D6" w:rsidRDefault="00D7602D">
          <w:pPr>
            <w:widowControl w:val="0"/>
            <w:tabs>
              <w:tab w:val="right" w:leader="dot" w:pos="12000"/>
            </w:tabs>
            <w:spacing w:before="60" w:line="240" w:lineRule="auto"/>
            <w:rPr>
              <w:b/>
              <w:color w:val="000000"/>
            </w:rPr>
          </w:pPr>
          <w:hyperlink w:anchor="_2ktftpvyj32v">
            <w:r>
              <w:rPr>
                <w:b/>
                <w:color w:val="000000"/>
              </w:rPr>
              <w:t>8. 2024 IGF PNMA process and main session: key messages and concluding remarks</w:t>
            </w:r>
            <w:r>
              <w:rPr>
                <w:b/>
                <w:color w:val="000000"/>
              </w:rPr>
              <w:tab/>
              <w:t>48</w:t>
            </w:r>
          </w:hyperlink>
        </w:p>
        <w:p w14:paraId="04EE5FD0" w14:textId="77777777" w:rsidR="007356D6" w:rsidRDefault="00D7602D">
          <w:pPr>
            <w:widowControl w:val="0"/>
            <w:tabs>
              <w:tab w:val="right" w:leader="dot" w:pos="12000"/>
            </w:tabs>
            <w:spacing w:before="60" w:line="240" w:lineRule="auto"/>
            <w:rPr>
              <w:b/>
              <w:color w:val="000000"/>
            </w:rPr>
          </w:pPr>
          <w:hyperlink w:anchor="_2dpefkgkswv0">
            <w:r>
              <w:rPr>
                <w:b/>
                <w:color w:val="000000"/>
              </w:rPr>
              <w:t>References</w:t>
            </w:r>
            <w:r>
              <w:rPr>
                <w:b/>
                <w:color w:val="000000"/>
              </w:rPr>
              <w:tab/>
              <w:t>49</w:t>
            </w:r>
          </w:hyperlink>
        </w:p>
        <w:p w14:paraId="47DE52E7" w14:textId="77777777" w:rsidR="007356D6" w:rsidRDefault="00D7602D">
          <w:pPr>
            <w:widowControl w:val="0"/>
            <w:tabs>
              <w:tab w:val="right" w:leader="dot" w:pos="12000"/>
            </w:tabs>
            <w:spacing w:before="60" w:line="240" w:lineRule="auto"/>
            <w:rPr>
              <w:b/>
              <w:color w:val="000000"/>
            </w:rPr>
          </w:pPr>
          <w:hyperlink w:anchor="_3zzx3zbk8xco">
            <w:r>
              <w:rPr>
                <w:b/>
                <w:color w:val="000000"/>
              </w:rPr>
              <w:t>Annexes</w:t>
            </w:r>
            <w:r>
              <w:rPr>
                <w:b/>
                <w:color w:val="000000"/>
              </w:rPr>
              <w:tab/>
              <w:t>50</w:t>
            </w:r>
          </w:hyperlink>
          <w:r>
            <w:fldChar w:fldCharType="end"/>
          </w:r>
        </w:p>
      </w:sdtContent>
    </w:sdt>
    <w:p w14:paraId="371F456E" w14:textId="77777777" w:rsidR="007356D6" w:rsidRDefault="007356D6">
      <w:pPr>
        <w:rPr>
          <w:rFonts w:ascii="Times New Roman" w:eastAsia="Times New Roman" w:hAnsi="Times New Roman" w:cs="Times New Roman"/>
          <w:b/>
          <w:sz w:val="32"/>
          <w:szCs w:val="32"/>
        </w:rPr>
      </w:pPr>
    </w:p>
    <w:p w14:paraId="45B75AD0" w14:textId="77777777" w:rsidR="007356D6" w:rsidRDefault="007356D6">
      <w:pPr>
        <w:rPr>
          <w:rFonts w:ascii="Times New Roman" w:eastAsia="Times New Roman" w:hAnsi="Times New Roman" w:cs="Times New Roman"/>
          <w:b/>
          <w:sz w:val="24"/>
          <w:szCs w:val="24"/>
        </w:rPr>
      </w:pPr>
    </w:p>
    <w:p w14:paraId="2623ACD7" w14:textId="77777777" w:rsidR="007356D6" w:rsidRDefault="00D7602D">
      <w:pPr>
        <w:rPr>
          <w:rFonts w:ascii="Times New Roman" w:eastAsia="Times New Roman" w:hAnsi="Times New Roman" w:cs="Times New Roman"/>
          <w:b/>
        </w:rPr>
      </w:pPr>
      <w:r>
        <w:br w:type="page"/>
      </w:r>
    </w:p>
    <w:p w14:paraId="41AA6E53" w14:textId="77777777" w:rsidR="007356D6" w:rsidRDefault="00D7602D">
      <w:pPr>
        <w:pStyle w:val="Heading2"/>
        <w:spacing w:line="240" w:lineRule="auto"/>
        <w:ind w:left="720"/>
        <w:rPr>
          <w:rFonts w:ascii="Times New Roman" w:eastAsia="Times New Roman" w:hAnsi="Times New Roman" w:cs="Times New Roman"/>
          <w:b/>
        </w:rPr>
      </w:pPr>
      <w:bookmarkStart w:id="0" w:name="_fvc4mjdtb6oe" w:colFirst="0" w:colLast="0"/>
      <w:bookmarkEnd w:id="0"/>
      <w:r>
        <w:rPr>
          <w:rFonts w:ascii="Times New Roman" w:eastAsia="Times New Roman" w:hAnsi="Times New Roman" w:cs="Times New Roman"/>
          <w:b/>
        </w:rPr>
        <w:lastRenderedPageBreak/>
        <w:t>Executive Summary</w:t>
      </w:r>
    </w:p>
    <w:p w14:paraId="42574529" w14:textId="77777777" w:rsidR="007356D6" w:rsidRDefault="007356D6">
      <w:pPr>
        <w:spacing w:line="240" w:lineRule="auto"/>
        <w:rPr>
          <w:rFonts w:ascii="Times New Roman" w:eastAsia="Times New Roman" w:hAnsi="Times New Roman" w:cs="Times New Roman"/>
        </w:rPr>
      </w:pPr>
    </w:p>
    <w:p w14:paraId="29051C06" w14:textId="77777777" w:rsidR="007356D6" w:rsidRDefault="00D7602D">
      <w:pPr>
        <w:spacing w:line="240"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Developed in the final version of the report</w:t>
      </w:r>
    </w:p>
    <w:p w14:paraId="4410DBC2" w14:textId="77777777" w:rsidR="007356D6" w:rsidRDefault="007356D6">
      <w:pPr>
        <w:spacing w:line="240" w:lineRule="auto"/>
        <w:rPr>
          <w:rFonts w:ascii="Times New Roman" w:eastAsia="Times New Roman" w:hAnsi="Times New Roman" w:cs="Times New Roman"/>
        </w:rPr>
      </w:pPr>
    </w:p>
    <w:p w14:paraId="55CB898D" w14:textId="77777777" w:rsidR="007356D6" w:rsidRDefault="007356D6">
      <w:pPr>
        <w:spacing w:line="240" w:lineRule="auto"/>
        <w:rPr>
          <w:rFonts w:ascii="Times New Roman" w:eastAsia="Times New Roman" w:hAnsi="Times New Roman" w:cs="Times New Roman"/>
        </w:rPr>
      </w:pPr>
    </w:p>
    <w:p w14:paraId="7C68CB86" w14:textId="77777777" w:rsidR="007356D6" w:rsidRDefault="007356D6">
      <w:pPr>
        <w:spacing w:line="240" w:lineRule="auto"/>
        <w:rPr>
          <w:rFonts w:ascii="Times New Roman" w:eastAsia="Times New Roman" w:hAnsi="Times New Roman" w:cs="Times New Roman"/>
        </w:rPr>
      </w:pPr>
    </w:p>
    <w:p w14:paraId="5B54C3B2" w14:textId="77777777" w:rsidR="007356D6" w:rsidRDefault="00D7602D">
      <w:pPr>
        <w:rPr>
          <w:rFonts w:ascii="Times New Roman" w:eastAsia="Times New Roman" w:hAnsi="Times New Roman" w:cs="Times New Roman"/>
          <w:b/>
        </w:rPr>
      </w:pPr>
      <w:r>
        <w:br w:type="page"/>
      </w:r>
    </w:p>
    <w:p w14:paraId="5DE472C8" w14:textId="77777777" w:rsidR="007356D6" w:rsidRDefault="00D7602D">
      <w:pPr>
        <w:pStyle w:val="Heading2"/>
        <w:spacing w:line="240" w:lineRule="auto"/>
        <w:ind w:left="720"/>
        <w:rPr>
          <w:rFonts w:ascii="Times New Roman" w:eastAsia="Times New Roman" w:hAnsi="Times New Roman" w:cs="Times New Roman"/>
          <w:b/>
        </w:rPr>
      </w:pPr>
      <w:bookmarkStart w:id="1" w:name="_9jxhlyj9yoju" w:colFirst="0" w:colLast="0"/>
      <w:bookmarkEnd w:id="1"/>
      <w:r>
        <w:rPr>
          <w:rFonts w:ascii="Times New Roman" w:eastAsia="Times New Roman" w:hAnsi="Times New Roman" w:cs="Times New Roman"/>
          <w:b/>
        </w:rPr>
        <w:lastRenderedPageBreak/>
        <w:t>List of Acronyms</w:t>
      </w:r>
    </w:p>
    <w:p w14:paraId="20144ACF" w14:textId="77777777" w:rsidR="007356D6" w:rsidRDefault="007356D6">
      <w:pPr>
        <w:spacing w:line="240" w:lineRule="auto"/>
        <w:rPr>
          <w:rFonts w:ascii="Times New Roman" w:eastAsia="Times New Roman" w:hAnsi="Times New Roman" w:cs="Times New Roman"/>
        </w:rPr>
      </w:pPr>
    </w:p>
    <w:p w14:paraId="4586AD1B" w14:textId="77777777" w:rsidR="007356D6" w:rsidRDefault="00D7602D">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To be completed/updated by the final version of the report</w:t>
      </w:r>
    </w:p>
    <w:p w14:paraId="5AABD0B4" w14:textId="77777777" w:rsidR="007356D6" w:rsidRDefault="007356D6">
      <w:pPr>
        <w:spacing w:line="240" w:lineRule="auto"/>
        <w:rPr>
          <w:rFonts w:ascii="Times New Roman" w:eastAsia="Times New Roman" w:hAnsi="Times New Roman" w:cs="Times New Roman"/>
          <w:sz w:val="24"/>
          <w:szCs w:val="24"/>
        </w:rPr>
      </w:pPr>
    </w:p>
    <w:p w14:paraId="0C7278D0"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AAU</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Association of African Universities</w:t>
      </w:r>
    </w:p>
    <w:p w14:paraId="1E917ADD"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AFN</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Ads for News Initiative</w:t>
      </w:r>
    </w:p>
    <w:p w14:paraId="4E2325B5"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AFNOG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Af</w:t>
      </w:r>
      <w:r>
        <w:rPr>
          <w:rFonts w:ascii="Times New Roman" w:eastAsia="Times New Roman" w:hAnsi="Times New Roman" w:cs="Times New Roman"/>
          <w:sz w:val="24"/>
          <w:szCs w:val="24"/>
        </w:rPr>
        <w:t>rica Network Operators Group</w:t>
      </w:r>
    </w:p>
    <w:p w14:paraId="356A7E26"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AFTLD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Africa Top Level Domains Organisation</w:t>
      </w:r>
    </w:p>
    <w:p w14:paraId="51765923"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Association for Progressive Communications</w:t>
      </w:r>
    </w:p>
    <w:p w14:paraId="44466BAE"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African Union Commission</w:t>
      </w:r>
    </w:p>
    <w:p w14:paraId="5C9DD57D"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BTRC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Bangladesh Telecommunicat</w:t>
      </w:r>
      <w:r>
        <w:rPr>
          <w:rFonts w:ascii="Times New Roman" w:eastAsia="Times New Roman" w:hAnsi="Times New Roman" w:cs="Times New Roman"/>
          <w:sz w:val="24"/>
          <w:szCs w:val="24"/>
        </w:rPr>
        <w:t>ion Regulatory Commission</w:t>
      </w:r>
    </w:p>
    <w:p w14:paraId="2E14101A"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CN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Community Network</w:t>
      </w:r>
    </w:p>
    <w:p w14:paraId="52BA7A4E"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COW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Community Owned Wireless</w:t>
      </w:r>
    </w:p>
    <w:p w14:paraId="56F2D967"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DACD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Development Agenda Coordination Division</w:t>
      </w:r>
    </w:p>
    <w:p w14:paraId="3D8B20CE"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DNS</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Domain Name System</w:t>
      </w:r>
    </w:p>
    <w:p w14:paraId="1D765741"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DNSSEC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DNS Security Extensions</w:t>
      </w:r>
    </w:p>
    <w:p w14:paraId="5FFE18FA"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DSO</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Digital Switch-Over</w:t>
      </w:r>
    </w:p>
    <w:p w14:paraId="321109C9"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DTT</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Digital Terrestrial Television</w:t>
      </w:r>
    </w:p>
    <w:p w14:paraId="52B12B20"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DTTB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Digital Terrestrial Television Broadcasting</w:t>
      </w:r>
    </w:p>
    <w:p w14:paraId="71D052EC"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EAI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Email Address Internationalisation</w:t>
      </w:r>
    </w:p>
    <w:p w14:paraId="600A21F1"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Electromagnetic Field</w:t>
      </w:r>
    </w:p>
    <w:p w14:paraId="7FC4FE47"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Global Alliance for Responsible Media</w:t>
      </w:r>
    </w:p>
    <w:p w14:paraId="435BE0EE"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GoS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Grade of Service</w:t>
      </w:r>
    </w:p>
    <w:p w14:paraId="36D0DD1C"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ICANN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Internet Corporation for Assigned Names and Numbers</w:t>
      </w:r>
    </w:p>
    <w:p w14:paraId="05BF3C10"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Internet Governance</w:t>
      </w:r>
    </w:p>
    <w:p w14:paraId="146FF0D5"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IGF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Internet Governance Forum</w:t>
      </w:r>
    </w:p>
    <w:p w14:paraId="2576C5A4"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IIG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International Internet Gateway</w:t>
      </w:r>
    </w:p>
    <w:p w14:paraId="5888E923"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IMRS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ICANN Managed Root Server</w:t>
      </w:r>
    </w:p>
    <w:p w14:paraId="1764C546" w14:textId="77777777" w:rsidR="007356D6" w:rsidRDefault="00D7602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Intellectual Property</w:t>
      </w:r>
    </w:p>
    <w:p w14:paraId="0FF0D4F1"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ISOC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Internet Society</w:t>
      </w:r>
    </w:p>
    <w:p w14:paraId="2525D21B"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ISP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Internet Service Provider</w:t>
      </w:r>
    </w:p>
    <w:p w14:paraId="36FA2442"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ITU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International Telecommunications Union</w:t>
      </w:r>
    </w:p>
    <w:p w14:paraId="354DD8A3"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NSRC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Network Startup Resource Center</w:t>
      </w:r>
    </w:p>
    <w:p w14:paraId="067CA4D5"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NTTN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Nationwide Telecommunication Transmission Network</w:t>
      </w:r>
    </w:p>
    <w:p w14:paraId="76CC3B05"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NUPEF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Nú</w:t>
      </w:r>
      <w:r>
        <w:rPr>
          <w:rFonts w:ascii="Times New Roman" w:eastAsia="Times New Roman" w:hAnsi="Times New Roman" w:cs="Times New Roman"/>
          <w:sz w:val="24"/>
          <w:szCs w:val="24"/>
        </w:rPr>
        <w:t>cleo de Pesquisas, Estudos e Formação</w:t>
      </w:r>
    </w:p>
    <w:p w14:paraId="14011F23"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PNMA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Policy Network on Meaningful Access</w:t>
      </w:r>
    </w:p>
    <w:p w14:paraId="0A143FFC"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PRIDA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Policy and Regulation Initiative for Digital Africa</w:t>
      </w:r>
    </w:p>
    <w:p w14:paraId="45E757DA"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School of Internet Governance</w:t>
      </w:r>
    </w:p>
    <w:p w14:paraId="57220D9A"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SME</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Small and</w:t>
      </w:r>
      <w:r>
        <w:rPr>
          <w:rFonts w:ascii="Times New Roman" w:eastAsia="Times New Roman" w:hAnsi="Times New Roman" w:cs="Times New Roman"/>
          <w:sz w:val="24"/>
          <w:szCs w:val="24"/>
        </w:rPr>
        <w:t xml:space="preserve"> Medium Enterprises</w:t>
      </w:r>
    </w:p>
    <w:p w14:paraId="5070AAC1"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SMS4DC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Spectrum Management System for Developing Countries</w:t>
      </w:r>
    </w:p>
    <w:p w14:paraId="0D5397D7" w14:textId="77777777" w:rsidR="007356D6" w:rsidRDefault="00D7602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UA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Universal Acceptance</w:t>
      </w:r>
    </w:p>
    <w:p w14:paraId="5AF4D1E5"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UASG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Universal Acceptance Steering Group</w:t>
      </w:r>
    </w:p>
    <w:p w14:paraId="7D252045"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UGC</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User Generated Content</w:t>
      </w:r>
    </w:p>
    <w:p w14:paraId="1453EE5B"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WAN-IFRA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World Association of News Publishers</w:t>
      </w:r>
    </w:p>
    <w:p w14:paraId="72EBD320" w14:textId="77777777" w:rsidR="00BB0B18" w:rsidRDefault="00BB0B18">
      <w:pPr>
        <w:spacing w:line="240" w:lineRule="auto"/>
        <w:rPr>
          <w:rFonts w:ascii="Times New Roman" w:eastAsia="Times New Roman" w:hAnsi="Times New Roman" w:cs="Times New Roman"/>
          <w:sz w:val="24"/>
          <w:szCs w:val="24"/>
        </w:rPr>
      </w:pPr>
      <w:bookmarkStart w:id="2" w:name="_GoBack"/>
      <w:r w:rsidRPr="00BB0B18">
        <w:rPr>
          <w:rFonts w:ascii="Times New Roman" w:eastAsia="Times New Roman" w:hAnsi="Times New Roman" w:cs="Times New Roman"/>
          <w:color w:val="FF0000"/>
          <w:sz w:val="24"/>
          <w:szCs w:val="24"/>
        </w:rPr>
        <w:t>WBU</w:t>
      </w:r>
      <w:r w:rsidRPr="00BB0B18">
        <w:rPr>
          <w:rFonts w:ascii="Times New Roman" w:eastAsia="Times New Roman" w:hAnsi="Times New Roman" w:cs="Times New Roman"/>
          <w:color w:val="FF0000"/>
          <w:sz w:val="24"/>
          <w:szCs w:val="24"/>
        </w:rPr>
        <w:tab/>
      </w:r>
      <w:r w:rsidRPr="00BB0B18">
        <w:rPr>
          <w:rFonts w:ascii="Times New Roman" w:eastAsia="Times New Roman" w:hAnsi="Times New Roman" w:cs="Times New Roman"/>
          <w:color w:val="FF0000"/>
          <w:sz w:val="24"/>
          <w:szCs w:val="24"/>
        </w:rPr>
        <w:tab/>
      </w:r>
      <w:r w:rsidRPr="00BB0B18">
        <w:rPr>
          <w:rFonts w:ascii="Times New Roman" w:eastAsia="Times New Roman" w:hAnsi="Times New Roman" w:cs="Times New Roman"/>
          <w:color w:val="FF0000"/>
          <w:sz w:val="24"/>
          <w:szCs w:val="24"/>
        </w:rPr>
        <w:tab/>
        <w:t>World Broadcasting Unions (ABU,AUB,AIR,ASBU,CBU,EBU,NABA</w:t>
      </w:r>
      <w:bookmarkEnd w:id="2"/>
      <w:r>
        <w:rPr>
          <w:rFonts w:ascii="Times New Roman" w:eastAsia="Times New Roman" w:hAnsi="Times New Roman" w:cs="Times New Roman"/>
          <w:sz w:val="24"/>
          <w:szCs w:val="24"/>
        </w:rPr>
        <w:t>)</w:t>
      </w:r>
    </w:p>
    <w:p w14:paraId="5C0F6A0F"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WIPO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World Intellectual Property Organization</w:t>
      </w:r>
    </w:p>
    <w:p w14:paraId="5664AFF8"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World Radiocommunication Conference</w:t>
      </w:r>
    </w:p>
    <w:p w14:paraId="6FBF93DC" w14:textId="77777777" w:rsidR="007356D6" w:rsidRDefault="00D7602D">
      <w:pPr>
        <w:rPr>
          <w:rFonts w:ascii="Times New Roman" w:eastAsia="Times New Roman" w:hAnsi="Times New Roman" w:cs="Times New Roman"/>
          <w:b/>
        </w:rPr>
      </w:pPr>
      <w:r>
        <w:br w:type="page"/>
      </w:r>
    </w:p>
    <w:p w14:paraId="239845CD" w14:textId="77777777" w:rsidR="007356D6" w:rsidRDefault="00D7602D">
      <w:pPr>
        <w:pStyle w:val="Heading2"/>
        <w:numPr>
          <w:ilvl w:val="0"/>
          <w:numId w:val="56"/>
        </w:numPr>
        <w:rPr>
          <w:rFonts w:ascii="Times New Roman" w:eastAsia="Times New Roman" w:hAnsi="Times New Roman" w:cs="Times New Roman"/>
        </w:rPr>
      </w:pPr>
      <w:bookmarkStart w:id="3" w:name="dwc9lpqs508" w:colFirst="0" w:colLast="0"/>
      <w:bookmarkStart w:id="4" w:name="_t45aocgcg9tx" w:colFirst="0" w:colLast="0"/>
      <w:bookmarkEnd w:id="3"/>
      <w:bookmarkEnd w:id="4"/>
      <w:r>
        <w:rPr>
          <w:rFonts w:ascii="Times New Roman" w:eastAsia="Times New Roman" w:hAnsi="Times New Roman" w:cs="Times New Roman"/>
          <w:b/>
          <w:color w:val="38761D"/>
        </w:rPr>
        <w:lastRenderedPageBreak/>
        <w:t>Introduction</w:t>
      </w:r>
    </w:p>
    <w:p w14:paraId="23BA8C16" w14:textId="77777777" w:rsidR="007356D6" w:rsidRDefault="007356D6">
      <w:pPr>
        <w:rPr>
          <w:rFonts w:ascii="Times New Roman" w:eastAsia="Times New Roman" w:hAnsi="Times New Roman" w:cs="Times New Roman"/>
        </w:rPr>
      </w:pPr>
    </w:p>
    <w:p w14:paraId="469CEDD3" w14:textId="77777777" w:rsidR="007356D6" w:rsidRDefault="00D7602D">
      <w:pPr>
        <w:pStyle w:val="Heading3"/>
        <w:spacing w:line="240" w:lineRule="auto"/>
        <w:jc w:val="both"/>
        <w:rPr>
          <w:rFonts w:ascii="Times New Roman" w:eastAsia="Times New Roman" w:hAnsi="Times New Roman" w:cs="Times New Roman"/>
        </w:rPr>
      </w:pPr>
      <w:bookmarkStart w:id="5" w:name="_y6mujb9v27mw" w:colFirst="0" w:colLast="0"/>
      <w:bookmarkEnd w:id="5"/>
      <w:r>
        <w:rPr>
          <w:rFonts w:ascii="Times New Roman" w:eastAsia="Times New Roman" w:hAnsi="Times New Roman" w:cs="Times New Roman"/>
        </w:rPr>
        <w:t>About meaningful access</w:t>
      </w:r>
    </w:p>
    <w:p w14:paraId="0D5C9C96" w14:textId="77777777" w:rsidR="007356D6" w:rsidRDefault="00D7602D">
      <w:pPr>
        <w:spacing w:line="240" w:lineRule="auto"/>
        <w:ind w:right="-4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The concept of </w:t>
      </w:r>
      <w:r>
        <w:rPr>
          <w:rFonts w:ascii="Times New Roman" w:eastAsia="Times New Roman" w:hAnsi="Times New Roman" w:cs="Times New Roman"/>
          <w:b/>
          <w:sz w:val="24"/>
          <w:szCs w:val="24"/>
        </w:rPr>
        <w:t>meaningful access</w:t>
      </w:r>
      <w:r>
        <w:rPr>
          <w:rFonts w:ascii="Times New Roman" w:eastAsia="Times New Roman" w:hAnsi="Times New Roman" w:cs="Times New Roman"/>
          <w:sz w:val="24"/>
          <w:szCs w:val="24"/>
        </w:rPr>
        <w:t xml:space="preserve"> has emerged in response to a growing body of evidence that even when people have connectivity, they might not have fully benefited from it. How one gets connected to the Internet is an equally important challenge to the experience that a person will have </w:t>
      </w:r>
      <w:r>
        <w:rPr>
          <w:rFonts w:ascii="Times New Roman" w:eastAsia="Times New Roman" w:hAnsi="Times New Roman" w:cs="Times New Roman"/>
          <w:sz w:val="24"/>
          <w:szCs w:val="24"/>
        </w:rPr>
        <w:t>once they are online, even more so to the community/country they live in. While access to infrastructure is critical, without this access being inclusive, useful, sustainable and affordable, linked to human capacity development and  relevant content that c</w:t>
      </w:r>
      <w:r>
        <w:rPr>
          <w:rFonts w:ascii="Times New Roman" w:eastAsia="Times New Roman" w:hAnsi="Times New Roman" w:cs="Times New Roman"/>
          <w:sz w:val="24"/>
          <w:szCs w:val="24"/>
        </w:rPr>
        <w:t>an make it so, the impact connectivity could have will not achieve its positive potenti</w:t>
      </w:r>
      <w:r>
        <w:rPr>
          <w:rFonts w:ascii="Times New Roman" w:eastAsia="Times New Roman" w:hAnsi="Times New Roman" w:cs="Times New Roman"/>
          <w:color w:val="222222"/>
          <w:sz w:val="24"/>
          <w:szCs w:val="24"/>
        </w:rPr>
        <w:t>al. Many of the access efforts, unfortunately, are only focusing on bringing connections to final users (i.e., consumers), without taking into consideration the potentia</w:t>
      </w:r>
      <w:r>
        <w:rPr>
          <w:rFonts w:ascii="Times New Roman" w:eastAsia="Times New Roman" w:hAnsi="Times New Roman" w:cs="Times New Roman"/>
          <w:color w:val="222222"/>
          <w:sz w:val="24"/>
          <w:szCs w:val="24"/>
        </w:rPr>
        <w:t xml:space="preserve">l of the Internet to create, communicate and produce content and services locally and in local languages (i.e., citizens), and what it will take to realise this.  </w:t>
      </w:r>
    </w:p>
    <w:p w14:paraId="34EFCD4E" w14:textId="77777777" w:rsidR="007356D6" w:rsidRDefault="00D7602D">
      <w:pPr>
        <w:pStyle w:val="Heading3"/>
        <w:spacing w:line="240" w:lineRule="auto"/>
        <w:jc w:val="both"/>
        <w:rPr>
          <w:rFonts w:ascii="Times New Roman" w:eastAsia="Times New Roman" w:hAnsi="Times New Roman" w:cs="Times New Roman"/>
          <w:highlight w:val="yellow"/>
        </w:rPr>
      </w:pPr>
      <w:bookmarkStart w:id="6" w:name="_qkuasnbu988f" w:colFirst="0" w:colLast="0"/>
      <w:bookmarkEnd w:id="6"/>
      <w:r>
        <w:rPr>
          <w:rFonts w:ascii="Times New Roman" w:eastAsia="Times New Roman" w:hAnsi="Times New Roman" w:cs="Times New Roman"/>
        </w:rPr>
        <w:t>About the Internet Governance Forum (IGF)</w:t>
      </w:r>
      <w:r>
        <w:rPr>
          <w:rFonts w:ascii="Times New Roman" w:eastAsia="Times New Roman" w:hAnsi="Times New Roman" w:cs="Times New Roman"/>
          <w:highlight w:val="yellow"/>
        </w:rPr>
        <w:t xml:space="preserve"> </w:t>
      </w:r>
    </w:p>
    <w:p w14:paraId="6EA4069E" w14:textId="77777777" w:rsidR="007356D6" w:rsidRDefault="00D7602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Internet Governance Forum (IGF)</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is a global a</w:t>
      </w:r>
      <w:r>
        <w:rPr>
          <w:rFonts w:ascii="Times New Roman" w:eastAsia="Times New Roman" w:hAnsi="Times New Roman" w:cs="Times New Roman"/>
          <w:sz w:val="24"/>
          <w:szCs w:val="24"/>
        </w:rPr>
        <w:t>rena, convened by the United Nations’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where governments, civil society, the Internet technical community, academia, the private sector, and independent experts exchange information and share best practices around Internet governance and policy issues.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r>
        <w:rPr>
          <w:rFonts w:ascii="Times New Roman" w:eastAsia="Times New Roman" w:hAnsi="Times New Roman" w:cs="Times New Roman"/>
          <w:color w:val="212529"/>
          <w:sz w:val="24"/>
          <w:szCs w:val="24"/>
          <w:highlight w:val="white"/>
        </w:rPr>
        <w:t>I</w:t>
      </w:r>
      <w:r>
        <w:rPr>
          <w:rFonts w:ascii="Times New Roman" w:eastAsia="Times New Roman" w:hAnsi="Times New Roman" w:cs="Times New Roman"/>
          <w:color w:val="212529"/>
          <w:sz w:val="24"/>
          <w:szCs w:val="24"/>
          <w:highlight w:val="white"/>
        </w:rPr>
        <w:t>t brings together different stakeholder groups as equals, working as a facilitator of a common understanding of the Internet opportunities and threats.</w:t>
      </w:r>
    </w:p>
    <w:p w14:paraId="259EE113" w14:textId="77777777" w:rsidR="007356D6" w:rsidRDefault="00D7602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2024, the nineteenth annual meeting of the IGF will explore the overarching theme “Building our Multi</w:t>
      </w:r>
      <w:r>
        <w:rPr>
          <w:rFonts w:ascii="Times New Roman" w:eastAsia="Times New Roman" w:hAnsi="Times New Roman" w:cs="Times New Roman"/>
          <w:sz w:val="24"/>
          <w:szCs w:val="24"/>
        </w:rPr>
        <w:t xml:space="preserve">stakeholder Digital Future”. This is a hybrid event hosted by the Kingdom of Saudi Arabia  between 15 and 19 December in Riyadh, and online. The PNMA activities can be found under the subtheme “Advancing human rights and inclusion in the digital age”. </w:t>
      </w:r>
    </w:p>
    <w:p w14:paraId="5B2D4B2D" w14:textId="77777777" w:rsidR="007356D6" w:rsidRDefault="00D7602D">
      <w:pPr>
        <w:pStyle w:val="Heading3"/>
        <w:spacing w:line="240" w:lineRule="auto"/>
        <w:jc w:val="both"/>
        <w:rPr>
          <w:rFonts w:ascii="Times New Roman" w:eastAsia="Times New Roman" w:hAnsi="Times New Roman" w:cs="Times New Roman"/>
        </w:rPr>
      </w:pPr>
      <w:bookmarkStart w:id="7" w:name="_96oo88h1bxv6" w:colFirst="0" w:colLast="0"/>
      <w:bookmarkEnd w:id="7"/>
      <w:r>
        <w:rPr>
          <w:rFonts w:ascii="Times New Roman" w:eastAsia="Times New Roman" w:hAnsi="Times New Roman" w:cs="Times New Roman"/>
        </w:rPr>
        <w:t>Abo</w:t>
      </w:r>
      <w:r>
        <w:rPr>
          <w:rFonts w:ascii="Times New Roman" w:eastAsia="Times New Roman" w:hAnsi="Times New Roman" w:cs="Times New Roman"/>
        </w:rPr>
        <w:t xml:space="preserve">ut the Policy Network on Meaningful Access (PNMA) </w:t>
      </w:r>
    </w:p>
    <w:p w14:paraId="73A9DCCE" w14:textId="77777777" w:rsidR="007356D6" w:rsidRDefault="00D7602D">
      <w:pPr>
        <w:spacing w:before="4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Policy Network on Meaningful Access (PNMA) is a type of intersessional activity under IGF created to establish an expert-led framework network on broad Internet governance topics that create spaces for</w:t>
      </w:r>
      <w:r>
        <w:rPr>
          <w:rFonts w:ascii="Times New Roman" w:eastAsia="Times New Roman" w:hAnsi="Times New Roman" w:cs="Times New Roman"/>
          <w:sz w:val="24"/>
          <w:szCs w:val="24"/>
        </w:rPr>
        <w:t xml:space="preserve"> in-depth multistakeholder efforts. It aims to identify best practices and successful solutions applied somewhere in order to formulate impact-driven, concrete, and actionable policy recommendations on how</w:t>
      </w:r>
      <w:r>
        <w:rPr>
          <w:rFonts w:ascii="Times New Roman" w:eastAsia="Times New Roman" w:hAnsi="Times New Roman" w:cs="Times New Roman"/>
          <w:color w:val="222222"/>
          <w:sz w:val="24"/>
          <w:szCs w:val="24"/>
        </w:rPr>
        <w:t xml:space="preserve"> to achieve meaningful and universal Internet acces</w:t>
      </w:r>
      <w:r>
        <w:rPr>
          <w:rFonts w:ascii="Times New Roman" w:eastAsia="Times New Roman" w:hAnsi="Times New Roman" w:cs="Times New Roman"/>
          <w:color w:val="222222"/>
          <w:sz w:val="24"/>
          <w:szCs w:val="24"/>
        </w:rPr>
        <w:t>s aligned with the Secretary-General's Roadmap for Digital Cooperation and the Sustainable Development Goals.</w:t>
      </w:r>
      <w:r>
        <w:rPr>
          <w:rFonts w:ascii="Times New Roman" w:eastAsia="Times New Roman" w:hAnsi="Times New Roman" w:cs="Times New Roman"/>
          <w:sz w:val="24"/>
          <w:szCs w:val="24"/>
        </w:rPr>
        <w:t xml:space="preserve"> The PNMA foundations are grounded on:</w:t>
      </w:r>
    </w:p>
    <w:p w14:paraId="5688B469" w14:textId="77777777" w:rsidR="007356D6" w:rsidRDefault="00D7602D">
      <w:pPr>
        <w:numPr>
          <w:ilvl w:val="0"/>
          <w:numId w:val="20"/>
        </w:numPr>
        <w:spacing w:before="4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IGF mandate at paragraph 72 of Tunis Agenda, for the exchange of information and engagement of stakehold</w:t>
      </w:r>
      <w:r>
        <w:rPr>
          <w:rFonts w:ascii="Times New Roman" w:eastAsia="Times New Roman" w:hAnsi="Times New Roman" w:cs="Times New Roman"/>
          <w:sz w:val="24"/>
          <w:szCs w:val="24"/>
        </w:rPr>
        <w:t>ers - in particular from developing countries - as well as capacity development in Internet governance;</w:t>
      </w:r>
    </w:p>
    <w:p w14:paraId="557DF76F" w14:textId="77777777" w:rsidR="007356D6" w:rsidRDefault="00D7602D">
      <w:pPr>
        <w:numPr>
          <w:ilvl w:val="0"/>
          <w:numId w:val="20"/>
        </w:num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paragraph 93(e) from the United Nations Secretary-General’s Roadmap for Digital Cooperation as it envisages a strengthened IGF with a view to making it more responsive and relevant to digital issues, and streamline priority areas (global connectivity, </w:t>
      </w:r>
      <w:r>
        <w:rPr>
          <w:rFonts w:ascii="Times New Roman" w:eastAsia="Times New Roman" w:hAnsi="Times New Roman" w:cs="Times New Roman"/>
          <w:sz w:val="24"/>
          <w:szCs w:val="24"/>
        </w:rPr>
        <w:t>digital inclusion, capacity building);</w:t>
      </w:r>
    </w:p>
    <w:p w14:paraId="5C8A4E9D" w14:textId="77777777" w:rsidR="007356D6" w:rsidRDefault="00D7602D">
      <w:pPr>
        <w:numPr>
          <w:ilvl w:val="0"/>
          <w:numId w:val="20"/>
        </w:num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Our Common Agenda First Commitment (“Leave no one behind”) and Seventh Commitment (“Improve digital cooperation”);</w:t>
      </w:r>
    </w:p>
    <w:p w14:paraId="40F6CF73" w14:textId="77777777" w:rsidR="007356D6" w:rsidRDefault="00D7602D">
      <w:pPr>
        <w:numPr>
          <w:ilvl w:val="0"/>
          <w:numId w:val="20"/>
        </w:num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Digital Compact future engagements.</w:t>
      </w:r>
    </w:p>
    <w:p w14:paraId="578156A0"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Officially starting its activities in June 2021, the Po</w:t>
      </w:r>
      <w:r>
        <w:rPr>
          <w:rFonts w:ascii="Times New Roman" w:eastAsia="Times New Roman" w:hAnsi="Times New Roman" w:cs="Times New Roman"/>
          <w:sz w:val="24"/>
          <w:szCs w:val="24"/>
        </w:rPr>
        <w:t>licy Network has successfully built a network of partners - its Multistakeholder Working Group (MWG) - ; arranged connections with ongoing relevant discussions and actions in other fora; and built a repository of good practices. As decided during its found</w:t>
      </w:r>
      <w:r>
        <w:rPr>
          <w:rFonts w:ascii="Times New Roman" w:eastAsia="Times New Roman" w:hAnsi="Times New Roman" w:cs="Times New Roman"/>
          <w:sz w:val="24"/>
          <w:szCs w:val="24"/>
        </w:rPr>
        <w:t>ation, the MWG – composed by representatives of groups and communities concerned by the Meaningful Access – “agreed to explore concrete actions the members of the PNMA could support so that [our] main outcome is not only a set of recommendations”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w:t>
      </w:r>
    </w:p>
    <w:p w14:paraId="17E52EE4"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In 2022</w:t>
      </w:r>
      <w:r>
        <w:rPr>
          <w:rFonts w:ascii="Times New Roman" w:eastAsia="Times New Roman" w:hAnsi="Times New Roman" w:cs="Times New Roman"/>
          <w:color w:val="222222"/>
          <w:sz w:val="24"/>
          <w:szCs w:val="24"/>
        </w:rPr>
        <w:t xml:space="preserve">, the PNMA’s analytical focus was on the community’s agreed three </w:t>
      </w:r>
      <w:r>
        <w:rPr>
          <w:rFonts w:ascii="Times New Roman" w:eastAsia="Times New Roman" w:hAnsi="Times New Roman" w:cs="Times New Roman"/>
          <w:sz w:val="24"/>
          <w:szCs w:val="24"/>
        </w:rPr>
        <w:t>overarching thematic workstreams: Connectivity (Infrastructure &amp; Business Models), Digital Inclusion through citizen approach (accessibility &amp; multilingualism: local services and contents in</w:t>
      </w:r>
      <w:r>
        <w:rPr>
          <w:rFonts w:ascii="Times New Roman" w:eastAsia="Times New Roman" w:hAnsi="Times New Roman" w:cs="Times New Roman"/>
          <w:sz w:val="24"/>
          <w:szCs w:val="24"/>
        </w:rPr>
        <w:t xml:space="preserve"> local languages based on local needs and resources) and Capacity Development (technical skills training). During that year’s intersessional activities, the policy network actively contributed within and outside IGF communities to identify a certain number</w:t>
      </w:r>
      <w:r>
        <w:rPr>
          <w:rFonts w:ascii="Times New Roman" w:eastAsia="Times New Roman" w:hAnsi="Times New Roman" w:cs="Times New Roman"/>
          <w:sz w:val="24"/>
          <w:szCs w:val="24"/>
        </w:rPr>
        <w:t xml:space="preserve"> of good practices and policy solutions, and retain them as models to be exported or applied to other regions of the world. Stakeholders from different groups joined this enterprise: government, international organisations, academia, private actors, non-pr</w:t>
      </w:r>
      <w:r>
        <w:rPr>
          <w:rFonts w:ascii="Times New Roman" w:eastAsia="Times New Roman" w:hAnsi="Times New Roman" w:cs="Times New Roman"/>
          <w:sz w:val="24"/>
          <w:szCs w:val="24"/>
        </w:rPr>
        <w:t>ofits. The</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1155CC"/>
            <w:sz w:val="24"/>
            <w:szCs w:val="24"/>
            <w:u w:val="single"/>
          </w:rPr>
          <w:t>PNMA 2022 Output Report</w:t>
        </w:r>
      </w:hyperlink>
      <w:r>
        <w:rPr>
          <w:rFonts w:ascii="Times New Roman" w:eastAsia="Times New Roman" w:hAnsi="Times New Roman" w:cs="Times New Roman"/>
          <w:sz w:val="24"/>
          <w:szCs w:val="24"/>
        </w:rPr>
        <w:t xml:space="preserve"> features a collation of selected cases for each of the focus ar</w:t>
      </w:r>
      <w:r>
        <w:rPr>
          <w:rFonts w:ascii="Times New Roman" w:eastAsia="Times New Roman" w:hAnsi="Times New Roman" w:cs="Times New Roman"/>
          <w:sz w:val="24"/>
          <w:szCs w:val="24"/>
        </w:rPr>
        <w:t>eas. Additionally, one section of the document is devoted to recommendations around meaningful access and its expansion.</w:t>
      </w:r>
    </w:p>
    <w:p w14:paraId="4E44907B"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2023, the PNMA expanded its analysis of said experiences with implementation and problem-solving of the issues previously raised</w:t>
      </w:r>
      <w:r>
        <w:rPr>
          <w:rFonts w:ascii="Times New Roman" w:eastAsia="Times New Roman" w:hAnsi="Times New Roman" w:cs="Times New Roman"/>
          <w:sz w:val="24"/>
          <w:szCs w:val="24"/>
        </w:rPr>
        <w:t>. By building a</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PNMA Repository of Good Practices</w:t>
        </w:r>
      </w:hyperlink>
      <w:r>
        <w:rPr>
          <w:rFonts w:ascii="Times New Roman" w:eastAsia="Times New Roman" w:hAnsi="Times New Roman" w:cs="Times New Roman"/>
          <w:sz w:val="24"/>
          <w:szCs w:val="24"/>
        </w:rPr>
        <w:t>, the network was able to assess reasons on why practices have or h</w:t>
      </w:r>
      <w:r>
        <w:rPr>
          <w:rFonts w:ascii="Times New Roman" w:eastAsia="Times New Roman" w:hAnsi="Times New Roman" w:cs="Times New Roman"/>
          <w:sz w:val="24"/>
          <w:szCs w:val="24"/>
        </w:rPr>
        <w:t>ave not expanded, why digital divides persist, and which structural issues repeat themselves in different scenarios. Throughout online monthly deliberations and the outcomes of the plenary discussion held in Kyoto, the community shared examples of how we a</w:t>
      </w:r>
      <w:r>
        <w:rPr>
          <w:rFonts w:ascii="Times New Roman" w:eastAsia="Times New Roman" w:hAnsi="Times New Roman" w:cs="Times New Roman"/>
          <w:sz w:val="24"/>
          <w:szCs w:val="24"/>
        </w:rPr>
        <w:t>re working towards better local content and languages online, improved meaningful connectivity, and the use of non-Latin alphabets, amongst other areas. Additionally, the policy network encouraged conversations about the intersessional work and ways of col</w:t>
      </w:r>
      <w:r>
        <w:rPr>
          <w:rFonts w:ascii="Times New Roman" w:eastAsia="Times New Roman" w:hAnsi="Times New Roman" w:cs="Times New Roman"/>
          <w:sz w:val="24"/>
          <w:szCs w:val="24"/>
        </w:rPr>
        <w:t>laboration and advocacy with other IGF areas (e.g., Dynamic Coalitions and National and Regional Initiatives), the Leadership Panel, and institutional partners. Amongst these, cooperation has been renewed with IGOs such as the Internet Corporation for Assi</w:t>
      </w:r>
      <w:r>
        <w:rPr>
          <w:rFonts w:ascii="Times New Roman" w:eastAsia="Times New Roman" w:hAnsi="Times New Roman" w:cs="Times New Roman"/>
          <w:sz w:val="24"/>
          <w:szCs w:val="24"/>
        </w:rPr>
        <w:t>gned Names and Numbers (ICANN); the International Federal of Library Associations (IFLA); the International Telecommunications Union (ITU), and the World Intellectual Property Organization (WIPO). The</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PNMA 2023 Output Report</w:t>
        </w:r>
      </w:hyperlink>
      <w:r>
        <w:rPr>
          <w:rFonts w:ascii="Times New Roman" w:eastAsia="Times New Roman" w:hAnsi="Times New Roman" w:cs="Times New Roman"/>
          <w:sz w:val="24"/>
          <w:szCs w:val="24"/>
        </w:rPr>
        <w:t xml:space="preserve"> reflects the collaborative work and the group's list of recommended actions on meaningful access.</w:t>
      </w:r>
    </w:p>
    <w:p w14:paraId="3767AC9B"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 2024, the PNMA aims to assis</w:t>
      </w:r>
      <w:r>
        <w:rPr>
          <w:rFonts w:ascii="Times New Roman" w:eastAsia="Times New Roman" w:hAnsi="Times New Roman" w:cs="Times New Roman"/>
          <w:b/>
          <w:sz w:val="24"/>
          <w:szCs w:val="24"/>
        </w:rPr>
        <w:t>t and advocate for the implementation of policy solutions for the key issues previously raised, while monitoring ongoing experiences and welcoming new practices.</w:t>
      </w:r>
      <w:r>
        <w:rPr>
          <w:rFonts w:ascii="Times New Roman" w:eastAsia="Times New Roman" w:hAnsi="Times New Roman" w:cs="Times New Roman"/>
          <w:sz w:val="24"/>
          <w:szCs w:val="24"/>
        </w:rPr>
        <w:t xml:space="preserve"> The continuous multistakeholder public debate on the above mentioned focus areas will have to </w:t>
      </w:r>
      <w:r>
        <w:rPr>
          <w:rFonts w:ascii="Times New Roman" w:eastAsia="Times New Roman" w:hAnsi="Times New Roman" w:cs="Times New Roman"/>
          <w:sz w:val="24"/>
          <w:szCs w:val="24"/>
        </w:rPr>
        <w:t>take into account the upcoming Global Digital Compact, the deliberations from NETMundial+10, and the WSIS+20 and IGF+20 processes.</w:t>
      </w:r>
    </w:p>
    <w:p w14:paraId="1F557BB2" w14:textId="77777777" w:rsidR="007356D6" w:rsidRDefault="00D7602D">
      <w:pPr>
        <w:pStyle w:val="Heading2"/>
        <w:numPr>
          <w:ilvl w:val="0"/>
          <w:numId w:val="56"/>
        </w:numPr>
        <w:rPr>
          <w:rFonts w:ascii="Times New Roman" w:eastAsia="Times New Roman" w:hAnsi="Times New Roman" w:cs="Times New Roman"/>
        </w:rPr>
      </w:pPr>
      <w:bookmarkStart w:id="8" w:name="_byj46d34dsgm" w:colFirst="0" w:colLast="0"/>
      <w:bookmarkEnd w:id="8"/>
      <w:r>
        <w:rPr>
          <w:rFonts w:ascii="Times New Roman" w:eastAsia="Times New Roman" w:hAnsi="Times New Roman" w:cs="Times New Roman"/>
          <w:b/>
          <w:color w:val="38761D"/>
        </w:rPr>
        <w:lastRenderedPageBreak/>
        <w:t xml:space="preserve">The </w:t>
      </w:r>
      <w:bookmarkStart w:id="9" w:name="1vne23mxvb88" w:colFirst="0" w:colLast="0"/>
      <w:bookmarkEnd w:id="9"/>
      <w:r>
        <w:rPr>
          <w:rFonts w:ascii="Times New Roman" w:eastAsia="Times New Roman" w:hAnsi="Times New Roman" w:cs="Times New Roman"/>
          <w:b/>
          <w:color w:val="38761D"/>
        </w:rPr>
        <w:t>2024 PNMA Process</w:t>
      </w:r>
    </w:p>
    <w:p w14:paraId="2D7716C9" w14:textId="77777777" w:rsidR="007356D6" w:rsidRDefault="00D7602D">
      <w:pPr>
        <w:pStyle w:val="Heading3"/>
        <w:spacing w:line="240" w:lineRule="auto"/>
        <w:jc w:val="both"/>
        <w:rPr>
          <w:rFonts w:ascii="Times New Roman" w:eastAsia="Times New Roman" w:hAnsi="Times New Roman" w:cs="Times New Roman"/>
          <w:color w:val="222222"/>
          <w:highlight w:val="white"/>
        </w:rPr>
      </w:pPr>
      <w:bookmarkStart w:id="10" w:name="_xafxcnwk54y2" w:colFirst="0" w:colLast="0"/>
      <w:bookmarkEnd w:id="10"/>
      <w:r>
        <w:rPr>
          <w:rFonts w:ascii="Times New Roman" w:eastAsia="Times New Roman" w:hAnsi="Times New Roman" w:cs="Times New Roman"/>
        </w:rPr>
        <w:t>Goals</w:t>
      </w:r>
      <w:r>
        <w:rPr>
          <w:rFonts w:ascii="Times New Roman" w:eastAsia="Times New Roman" w:hAnsi="Times New Roman" w:cs="Times New Roman"/>
          <w:highlight w:val="yellow"/>
        </w:rPr>
        <w:t xml:space="preserve"> </w:t>
      </w:r>
    </w:p>
    <w:p w14:paraId="4CB1DC8F" w14:textId="77777777" w:rsidR="007356D6" w:rsidRDefault="00D7602D">
      <w:pPr>
        <w:widowControl w:val="0"/>
        <w:numPr>
          <w:ilvl w:val="0"/>
          <w:numId w:val="24"/>
        </w:numPr>
        <w:jc w:val="both"/>
        <w:rPr>
          <w:rFonts w:ascii="Times New Roman" w:eastAsia="Times New Roman" w:hAnsi="Times New Roman" w:cs="Times New Roman"/>
        </w:rPr>
      </w:pPr>
      <w:r>
        <w:rPr>
          <w:rFonts w:ascii="Times New Roman" w:eastAsia="Times New Roman" w:hAnsi="Times New Roman" w:cs="Times New Roman"/>
          <w:sz w:val="24"/>
          <w:szCs w:val="24"/>
        </w:rPr>
        <w:t xml:space="preserve">Expand the policy network’s advocacy regarding all the achievements and solutions identified through its activities into the future Digital Compact Initiative, and effectively contribute to the roadmap </w:t>
      </w:r>
      <w:r>
        <w:rPr>
          <w:rFonts w:ascii="Times New Roman" w:eastAsia="Times New Roman" w:hAnsi="Times New Roman" w:cs="Times New Roman"/>
          <w:color w:val="FF0000"/>
          <w:sz w:val="24"/>
          <w:szCs w:val="24"/>
        </w:rPr>
        <w:t>that went through</w:t>
      </w:r>
      <w:r>
        <w:rPr>
          <w:rFonts w:ascii="Times New Roman" w:eastAsia="Times New Roman" w:hAnsi="Times New Roman" w:cs="Times New Roman"/>
          <w:sz w:val="24"/>
          <w:szCs w:val="24"/>
        </w:rPr>
        <w:t xml:space="preserve"> the Summit of the Future </w:t>
      </w:r>
      <w:r>
        <w:rPr>
          <w:rFonts w:ascii="Times New Roman" w:eastAsia="Times New Roman" w:hAnsi="Times New Roman" w:cs="Times New Roman"/>
          <w:color w:val="FF0000"/>
          <w:sz w:val="24"/>
          <w:szCs w:val="24"/>
        </w:rPr>
        <w:t>on Septembe</w:t>
      </w:r>
      <w:r>
        <w:rPr>
          <w:rFonts w:ascii="Times New Roman" w:eastAsia="Times New Roman" w:hAnsi="Times New Roman" w:cs="Times New Roman"/>
          <w:color w:val="FF0000"/>
          <w:sz w:val="24"/>
          <w:szCs w:val="24"/>
        </w:rPr>
        <w:t>r 22 and 23rd</w:t>
      </w:r>
      <w:r>
        <w:rPr>
          <w:rFonts w:ascii="Times New Roman" w:eastAsia="Times New Roman" w:hAnsi="Times New Roman" w:cs="Times New Roman"/>
          <w:sz w:val="24"/>
          <w:szCs w:val="24"/>
        </w:rPr>
        <w:t>, 2024 and the WSIS+20 and IGF+20 processes -  this could be made building on the useful suggestions included in the NETMundial+10 final document;</w:t>
      </w:r>
      <w:r>
        <w:rPr>
          <w:rFonts w:ascii="Times New Roman" w:eastAsia="Times New Roman" w:hAnsi="Times New Roman" w:cs="Times New Roman"/>
          <w:sz w:val="24"/>
          <w:szCs w:val="24"/>
        </w:rPr>
        <w:br/>
        <w:t xml:space="preserve"> </w:t>
      </w:r>
    </w:p>
    <w:p w14:paraId="5E6734FC" w14:textId="77777777" w:rsidR="007356D6" w:rsidRDefault="00D7602D">
      <w:pPr>
        <w:widowControl w:val="0"/>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 upon the key issues and deliberations collated by the PNMA community during the 2023 PNMA</w:t>
      </w:r>
      <w:r>
        <w:rPr>
          <w:rFonts w:ascii="Times New Roman" w:eastAsia="Times New Roman" w:hAnsi="Times New Roman" w:cs="Times New Roman"/>
          <w:sz w:val="24"/>
          <w:szCs w:val="24"/>
        </w:rPr>
        <w:t xml:space="preserve"> Session Plenary, bringing them to the attention of the IGF Secretariat and of the Leadership Panel;</w:t>
      </w:r>
      <w:r>
        <w:rPr>
          <w:rFonts w:ascii="Times New Roman" w:eastAsia="Times New Roman" w:hAnsi="Times New Roman" w:cs="Times New Roman"/>
          <w:sz w:val="24"/>
          <w:szCs w:val="24"/>
        </w:rPr>
        <w:br/>
      </w:r>
    </w:p>
    <w:p w14:paraId="38689BFC" w14:textId="77777777" w:rsidR="007356D6" w:rsidRDefault="00D7602D">
      <w:pPr>
        <w:widowControl w:val="0"/>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Actively promote the good practices that have been identified by the Policy Network across all stakeholder groups and through the Digital Cooperation init</w:t>
      </w:r>
      <w:r>
        <w:rPr>
          <w:rFonts w:ascii="Times New Roman" w:eastAsia="Times New Roman" w:hAnsi="Times New Roman" w:cs="Times New Roman"/>
          <w:sz w:val="24"/>
          <w:szCs w:val="24"/>
        </w:rPr>
        <w:t>iative, with the assistance of the Leadership Panel and the IGF Secretariat;</w:t>
      </w:r>
    </w:p>
    <w:p w14:paraId="2034F6BA" w14:textId="77777777" w:rsidR="007356D6" w:rsidRDefault="00D7602D">
      <w:pPr>
        <w:widowControl w:val="0"/>
        <w:numPr>
          <w:ilvl w:val="1"/>
          <w:numId w:val="19"/>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Sub-goal:</w:t>
      </w:r>
      <w:r>
        <w:rPr>
          <w:rFonts w:ascii="Times New Roman" w:eastAsia="Times New Roman" w:hAnsi="Times New Roman" w:cs="Times New Roman"/>
          <w:sz w:val="24"/>
          <w:szCs w:val="24"/>
        </w:rPr>
        <w:t xml:space="preserve"> focus the PNMA work on project implementation lessons and policy/regulatory conditions via a multisectoral approach and under the lens of intersectionality, scalability,</w:t>
      </w:r>
      <w:r>
        <w:rPr>
          <w:rFonts w:ascii="Times New Roman" w:eastAsia="Times New Roman" w:hAnsi="Times New Roman" w:cs="Times New Roman"/>
          <w:sz w:val="24"/>
          <w:szCs w:val="24"/>
        </w:rPr>
        <w:t xml:space="preserve"> and localisation.</w:t>
      </w:r>
    </w:p>
    <w:p w14:paraId="2AEA11CB" w14:textId="77777777" w:rsidR="007356D6" w:rsidRDefault="00D7602D">
      <w:pPr>
        <w:widowControl w:val="0"/>
        <w:numPr>
          <w:ilvl w:val="1"/>
          <w:numId w:val="19"/>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Sub-goal: </w:t>
      </w:r>
      <w:r>
        <w:rPr>
          <w:rFonts w:ascii="Times New Roman" w:eastAsia="Times New Roman" w:hAnsi="Times New Roman" w:cs="Times New Roman"/>
          <w:sz w:val="24"/>
          <w:szCs w:val="24"/>
        </w:rPr>
        <w:t>establish a permanent call for selection of good practices to be added to the PNMA Repository, with frequent updates on implementation status.</w:t>
      </w:r>
      <w:r>
        <w:rPr>
          <w:rFonts w:ascii="Times New Roman" w:eastAsia="Times New Roman" w:hAnsi="Times New Roman" w:cs="Times New Roman"/>
          <w:sz w:val="24"/>
          <w:szCs w:val="24"/>
        </w:rPr>
        <w:br/>
      </w:r>
    </w:p>
    <w:p w14:paraId="70B95283" w14:textId="77777777" w:rsidR="007356D6" w:rsidRDefault="00D7602D">
      <w:pPr>
        <w:widowControl w:val="0"/>
        <w:numPr>
          <w:ilvl w:val="0"/>
          <w:numId w:val="6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Strengthen partnerships with intergovernmental organizations (IGOs) that are alread</w:t>
      </w:r>
      <w:r>
        <w:rPr>
          <w:rFonts w:ascii="Times New Roman" w:eastAsia="Times New Roman" w:hAnsi="Times New Roman" w:cs="Times New Roman"/>
          <w:sz w:val="24"/>
          <w:szCs w:val="24"/>
        </w:rPr>
        <w:t>y part of the network (ICANN, ITU, WIPO, WBU, IFLA, etc), and welcome the involvement of new stakeholders that are relevant and active in the field of Meaningful Access;</w:t>
      </w:r>
      <w:r>
        <w:rPr>
          <w:rFonts w:ascii="Times New Roman" w:eastAsia="Times New Roman" w:hAnsi="Times New Roman" w:cs="Times New Roman"/>
          <w:sz w:val="24"/>
          <w:szCs w:val="24"/>
        </w:rPr>
        <w:br/>
      </w:r>
    </w:p>
    <w:p w14:paraId="109F6D85" w14:textId="77777777" w:rsidR="007356D6" w:rsidRDefault="00D7602D">
      <w:pPr>
        <w:widowControl w:val="0"/>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expanding the reach of the policy network, open a permanent dialogue between the P</w:t>
      </w:r>
      <w:r>
        <w:rPr>
          <w:rFonts w:ascii="Times New Roman" w:eastAsia="Times New Roman" w:hAnsi="Times New Roman" w:cs="Times New Roman"/>
          <w:sz w:val="24"/>
          <w:szCs w:val="24"/>
        </w:rPr>
        <w:t>NMA community and regional and global actors (such as the EU, the AU or the OAS and other regional bodies), in order to promote regional initiatives and encourage projects’ replication and scaling;</w:t>
      </w:r>
    </w:p>
    <w:p w14:paraId="4F393998" w14:textId="77777777" w:rsidR="007356D6" w:rsidRDefault="00D7602D">
      <w:pPr>
        <w:widowControl w:val="0"/>
        <w:numPr>
          <w:ilvl w:val="1"/>
          <w:numId w:val="2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Sub-</w:t>
      </w:r>
      <w:r>
        <w:rPr>
          <w:rFonts w:ascii="Times New Roman" w:eastAsia="Times New Roman" w:hAnsi="Times New Roman" w:cs="Times New Roman"/>
          <w:sz w:val="24"/>
          <w:szCs w:val="24"/>
        </w:rPr>
        <w:t>goal: work as a direct link to the regional bodies tha</w:t>
      </w:r>
      <w:r>
        <w:rPr>
          <w:rFonts w:ascii="Times New Roman" w:eastAsia="Times New Roman" w:hAnsi="Times New Roman" w:cs="Times New Roman"/>
          <w:sz w:val="24"/>
          <w:szCs w:val="24"/>
        </w:rPr>
        <w:t>t could play a key role in replication efforts (e.g., involve the African Union in practices from said continent).</w:t>
      </w:r>
    </w:p>
    <w:p w14:paraId="6163517C" w14:textId="77777777" w:rsidR="007356D6" w:rsidRDefault="00D7602D">
      <w:pPr>
        <w:widowControl w:val="0"/>
        <w:numPr>
          <w:ilvl w:val="1"/>
          <w:numId w:val="2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Sub-goal:</w:t>
      </w:r>
      <w:r>
        <w:rPr>
          <w:rFonts w:ascii="Times New Roman" w:eastAsia="Times New Roman" w:hAnsi="Times New Roman" w:cs="Times New Roman"/>
          <w:sz w:val="24"/>
          <w:szCs w:val="24"/>
        </w:rPr>
        <w:t xml:space="preserve"> monitor implementation and promotion of collaborative efforts with local actors, with a special attention to amplifying the voices </w:t>
      </w:r>
      <w:r>
        <w:rPr>
          <w:rFonts w:ascii="Times New Roman" w:eastAsia="Times New Roman" w:hAnsi="Times New Roman" w:cs="Times New Roman"/>
          <w:sz w:val="24"/>
          <w:szCs w:val="24"/>
        </w:rPr>
        <w:t>of least advantaged groups in the public debate on meaningful access (Youth, NRIs, Women, LGBTQIA+, Indigenous, People with Disabilities, Displaced Persons).</w:t>
      </w:r>
      <w:r>
        <w:rPr>
          <w:rFonts w:ascii="Times New Roman" w:eastAsia="Times New Roman" w:hAnsi="Times New Roman" w:cs="Times New Roman"/>
          <w:sz w:val="24"/>
          <w:szCs w:val="24"/>
        </w:rPr>
        <w:br/>
      </w:r>
    </w:p>
    <w:p w14:paraId="3A39F703" w14:textId="77777777" w:rsidR="007356D6" w:rsidRDefault="00D7602D">
      <w:pPr>
        <w:widowControl w:val="0"/>
        <w:numPr>
          <w:ilvl w:val="0"/>
          <w:numId w:val="27"/>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Propose public deliberation rounds and/or webinars on selected cases (for instance, on examples o</w:t>
      </w:r>
      <w:r>
        <w:rPr>
          <w:rFonts w:ascii="Times New Roman" w:eastAsia="Times New Roman" w:hAnsi="Times New Roman" w:cs="Times New Roman"/>
          <w:sz w:val="24"/>
          <w:szCs w:val="24"/>
        </w:rPr>
        <w:t xml:space="preserve">f policies promoting Meaningful Access) with participation of IGOs and regional bodies, in order to advocate for their collaboration on implementing or replicating presented solutions. </w:t>
      </w:r>
    </w:p>
    <w:p w14:paraId="5CC5F652" w14:textId="77777777" w:rsidR="007356D6" w:rsidRDefault="007356D6">
      <w:pPr>
        <w:jc w:val="both"/>
        <w:rPr>
          <w:rFonts w:ascii="Times New Roman" w:eastAsia="Times New Roman" w:hAnsi="Times New Roman" w:cs="Times New Roman"/>
          <w:sz w:val="24"/>
          <w:szCs w:val="24"/>
        </w:rPr>
      </w:pPr>
    </w:p>
    <w:p w14:paraId="31878587" w14:textId="77777777" w:rsidR="007356D6" w:rsidRDefault="007356D6">
      <w:pPr>
        <w:jc w:val="both"/>
        <w:rPr>
          <w:rFonts w:ascii="Times New Roman" w:eastAsia="Times New Roman" w:hAnsi="Times New Roman" w:cs="Times New Roman"/>
          <w:sz w:val="24"/>
          <w:szCs w:val="24"/>
        </w:rPr>
      </w:pPr>
    </w:p>
    <w:p w14:paraId="371A4870" w14:textId="77777777" w:rsidR="007356D6" w:rsidRDefault="00D7602D">
      <w:pPr>
        <w:pStyle w:val="Heading3"/>
        <w:spacing w:line="240" w:lineRule="auto"/>
        <w:jc w:val="both"/>
        <w:rPr>
          <w:rFonts w:ascii="Times New Roman" w:eastAsia="Times New Roman" w:hAnsi="Times New Roman" w:cs="Times New Roman"/>
          <w:sz w:val="24"/>
          <w:szCs w:val="24"/>
        </w:rPr>
      </w:pPr>
      <w:bookmarkStart w:id="11" w:name="_7w4ccd4o182" w:colFirst="0" w:colLast="0"/>
      <w:bookmarkEnd w:id="11"/>
      <w:r>
        <w:rPr>
          <w:rFonts w:ascii="Times New Roman" w:eastAsia="Times New Roman" w:hAnsi="Times New Roman" w:cs="Times New Roman"/>
        </w:rPr>
        <w:lastRenderedPageBreak/>
        <w:t>Priorities</w:t>
      </w:r>
    </w:p>
    <w:p w14:paraId="0659B39A" w14:textId="77777777" w:rsidR="007356D6" w:rsidRDefault="00D7602D">
      <w:pPr>
        <w:widowControl w:val="0"/>
        <w:spacing w:before="240" w:after="24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above referred goals demonstrate there is much to push forward in the realm of meaningful access. As an incremental work, the PNMA’s current efforts will add up to the activities developed during 2023 and 2022 and will provide the foundation for follow</w:t>
      </w:r>
      <w:r>
        <w:rPr>
          <w:rFonts w:ascii="Times New Roman" w:eastAsia="Times New Roman" w:hAnsi="Times New Roman" w:cs="Times New Roman"/>
          <w:color w:val="222222"/>
          <w:sz w:val="24"/>
          <w:szCs w:val="24"/>
          <w:highlight w:val="white"/>
        </w:rPr>
        <w:t>-ups and reviews in the following year.</w:t>
      </w:r>
    </w:p>
    <w:p w14:paraId="3A4BD64A" w14:textId="77777777" w:rsidR="007356D6" w:rsidRDefault="00D7602D">
      <w:pPr>
        <w:widowControl w:val="0"/>
        <w:numPr>
          <w:ilvl w:val="0"/>
          <w:numId w:val="10"/>
        </w:numPr>
        <w:spacing w:before="240"/>
        <w:jc w:val="both"/>
        <w:rPr>
          <w:rFonts w:ascii="Cambria" w:eastAsia="Cambria" w:hAnsi="Cambria" w:cs="Cambria"/>
          <w:sz w:val="24"/>
          <w:szCs w:val="24"/>
        </w:rPr>
      </w:pPr>
      <w:r>
        <w:rPr>
          <w:rFonts w:ascii="Times New Roman" w:eastAsia="Times New Roman" w:hAnsi="Times New Roman" w:cs="Times New Roman"/>
          <w:b/>
          <w:color w:val="222222"/>
          <w:sz w:val="24"/>
          <w:szCs w:val="24"/>
          <w:highlight w:val="white"/>
        </w:rPr>
        <w:t>Priority 1:</w:t>
      </w:r>
      <w:r>
        <w:rPr>
          <w:rFonts w:ascii="Times New Roman" w:eastAsia="Times New Roman" w:hAnsi="Times New Roman" w:cs="Times New Roman"/>
          <w:color w:val="222222"/>
          <w:sz w:val="24"/>
          <w:szCs w:val="24"/>
          <w:highlight w:val="white"/>
        </w:rPr>
        <w:t xml:space="preserve"> in close communication with the </w:t>
      </w:r>
      <w:r>
        <w:rPr>
          <w:rFonts w:ascii="Times New Roman" w:eastAsia="Times New Roman" w:hAnsi="Times New Roman" w:cs="Times New Roman"/>
          <w:b/>
          <w:color w:val="222222"/>
          <w:sz w:val="24"/>
          <w:szCs w:val="24"/>
          <w:highlight w:val="white"/>
        </w:rPr>
        <w:t>Leadership Panel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b/>
          <w:color w:val="222222"/>
          <w:sz w:val="24"/>
          <w:szCs w:val="24"/>
          <w:highlight w:val="white"/>
        </w:rPr>
        <w:t>bring all the achievements and solutions identified through the PNMA activities into the future Digital Compact Initiative</w:t>
      </w:r>
      <w:r>
        <w:rPr>
          <w:rFonts w:ascii="Times New Roman" w:eastAsia="Times New Roman" w:hAnsi="Times New Roman" w:cs="Times New Roman"/>
          <w:color w:val="222222"/>
          <w:sz w:val="24"/>
          <w:szCs w:val="24"/>
          <w:highlight w:val="white"/>
        </w:rPr>
        <w:t xml:space="preserve">, and effectively contribute to the roadmap leading to the Summit of the Future 2024 and the WSIS+20 and IGF+20 processes. The contribution will </w:t>
      </w:r>
      <w:r>
        <w:rPr>
          <w:rFonts w:ascii="Times New Roman" w:eastAsia="Times New Roman" w:hAnsi="Times New Roman" w:cs="Times New Roman"/>
          <w:b/>
          <w:color w:val="222222"/>
          <w:sz w:val="24"/>
          <w:szCs w:val="24"/>
          <w:highlight w:val="white"/>
        </w:rPr>
        <w:t>actively promote good practices</w:t>
      </w:r>
      <w:r>
        <w:rPr>
          <w:rFonts w:ascii="Times New Roman" w:eastAsia="Times New Roman" w:hAnsi="Times New Roman" w:cs="Times New Roman"/>
          <w:color w:val="222222"/>
          <w:sz w:val="24"/>
          <w:szCs w:val="24"/>
          <w:highlight w:val="white"/>
        </w:rPr>
        <w:t>, to be presented on a multisectoral approach following the three focus areas fo</w:t>
      </w:r>
      <w:r>
        <w:rPr>
          <w:rFonts w:ascii="Times New Roman" w:eastAsia="Times New Roman" w:hAnsi="Times New Roman" w:cs="Times New Roman"/>
          <w:color w:val="222222"/>
          <w:sz w:val="24"/>
          <w:szCs w:val="24"/>
          <w:highlight w:val="white"/>
        </w:rPr>
        <w:t xml:space="preserve">r PNMA analysis and under the lens of intersectionality, scalability, and localisation - with attention to lessons drawn from </w:t>
      </w:r>
      <w:r>
        <w:rPr>
          <w:rFonts w:ascii="Times New Roman" w:eastAsia="Times New Roman" w:hAnsi="Times New Roman" w:cs="Times New Roman"/>
          <w:b/>
          <w:color w:val="222222"/>
          <w:sz w:val="24"/>
          <w:szCs w:val="24"/>
          <w:highlight w:val="white"/>
        </w:rPr>
        <w:t>project implementation lessons and policy/regulatory conditions</w:t>
      </w:r>
      <w:r>
        <w:rPr>
          <w:rFonts w:ascii="Times New Roman" w:eastAsia="Times New Roman" w:hAnsi="Times New Roman" w:cs="Times New Roman"/>
          <w:color w:val="222222"/>
          <w:sz w:val="24"/>
          <w:szCs w:val="24"/>
          <w:highlight w:val="white"/>
        </w:rPr>
        <w:t xml:space="preserve"> that enabled said achievements. Additionally, the benchmarks and g</w:t>
      </w:r>
      <w:r>
        <w:rPr>
          <w:rFonts w:ascii="Times New Roman" w:eastAsia="Times New Roman" w:hAnsi="Times New Roman" w:cs="Times New Roman"/>
          <w:color w:val="222222"/>
          <w:sz w:val="24"/>
          <w:szCs w:val="24"/>
          <w:highlight w:val="white"/>
        </w:rPr>
        <w:t xml:space="preserve">ood practices will </w:t>
      </w:r>
      <w:r>
        <w:rPr>
          <w:rFonts w:ascii="Times New Roman" w:eastAsia="Times New Roman" w:hAnsi="Times New Roman" w:cs="Times New Roman"/>
          <w:b/>
          <w:color w:val="222222"/>
          <w:sz w:val="24"/>
          <w:szCs w:val="24"/>
          <w:highlight w:val="white"/>
        </w:rPr>
        <w:t>continue to be monitored for implementation and scaling</w:t>
      </w:r>
      <w:r>
        <w:rPr>
          <w:rFonts w:ascii="Times New Roman" w:eastAsia="Times New Roman" w:hAnsi="Times New Roman" w:cs="Times New Roman"/>
          <w:color w:val="222222"/>
          <w:sz w:val="24"/>
          <w:szCs w:val="24"/>
          <w:highlight w:val="white"/>
        </w:rPr>
        <w:t>, in their region of origin and, eventually, in other regions inspired by the same process. The first step –at the beginning of the 2024 work plan – could consist in making a critica</w:t>
      </w:r>
      <w:r>
        <w:rPr>
          <w:rFonts w:ascii="Times New Roman" w:eastAsia="Times New Roman" w:hAnsi="Times New Roman" w:cs="Times New Roman"/>
          <w:color w:val="222222"/>
          <w:sz w:val="24"/>
          <w:szCs w:val="24"/>
          <w:highlight w:val="white"/>
        </w:rPr>
        <w:t>l analysis of what exists about Meaningful Access in the current draft documents of all above-mentioned processes. A following step could be, e.g.,  to analyse the need to improve the current wordings of these drafts in view of the future debates that shal</w:t>
      </w:r>
      <w:r>
        <w:rPr>
          <w:rFonts w:ascii="Times New Roman" w:eastAsia="Times New Roman" w:hAnsi="Times New Roman" w:cs="Times New Roman"/>
          <w:color w:val="222222"/>
          <w:sz w:val="24"/>
          <w:szCs w:val="24"/>
          <w:highlight w:val="white"/>
        </w:rPr>
        <w:t>l take place at the UNGA in 2025 about WSIS and IGF +20.</w:t>
      </w:r>
      <w:r>
        <w:rPr>
          <w:rFonts w:ascii="Times New Roman" w:eastAsia="Times New Roman" w:hAnsi="Times New Roman" w:cs="Times New Roman"/>
          <w:color w:val="222222"/>
          <w:sz w:val="24"/>
          <w:szCs w:val="24"/>
          <w:highlight w:val="white"/>
        </w:rPr>
        <w:br/>
      </w:r>
    </w:p>
    <w:p w14:paraId="0A68A955" w14:textId="77777777" w:rsidR="007356D6" w:rsidRDefault="00D7602D">
      <w:pPr>
        <w:widowControl w:val="0"/>
        <w:numPr>
          <w:ilvl w:val="0"/>
          <w:numId w:val="10"/>
        </w:numPr>
        <w:jc w:val="both"/>
        <w:rPr>
          <w:rFonts w:ascii="Cambria" w:eastAsia="Cambria" w:hAnsi="Cambria" w:cs="Cambria"/>
          <w:sz w:val="24"/>
          <w:szCs w:val="24"/>
        </w:rPr>
      </w:pPr>
      <w:r>
        <w:rPr>
          <w:rFonts w:ascii="Times New Roman" w:eastAsia="Times New Roman" w:hAnsi="Times New Roman" w:cs="Times New Roman"/>
          <w:b/>
          <w:color w:val="222222"/>
          <w:sz w:val="24"/>
          <w:szCs w:val="24"/>
          <w:highlight w:val="white"/>
        </w:rPr>
        <w:t>Priority 2: Amplify the voices of those groups</w:t>
      </w:r>
      <w:r>
        <w:rPr>
          <w:rFonts w:ascii="Times New Roman" w:eastAsia="Times New Roman" w:hAnsi="Times New Roman" w:cs="Times New Roman"/>
          <w:b/>
          <w:color w:val="FF0000"/>
          <w:sz w:val="24"/>
          <w:szCs w:val="24"/>
          <w:highlight w:val="white"/>
        </w:rPr>
        <w:t xml:space="preserve"> </w:t>
      </w:r>
      <w:r>
        <w:rPr>
          <w:rFonts w:ascii="Times New Roman" w:eastAsia="Times New Roman" w:hAnsi="Times New Roman" w:cs="Times New Roman"/>
          <w:b/>
          <w:color w:val="222222"/>
          <w:sz w:val="24"/>
          <w:szCs w:val="24"/>
          <w:highlight w:val="white"/>
        </w:rPr>
        <w:t xml:space="preserve">that are less heard </w:t>
      </w:r>
      <w:r>
        <w:rPr>
          <w:rFonts w:ascii="Times New Roman" w:eastAsia="Times New Roman" w:hAnsi="Times New Roman" w:cs="Times New Roman"/>
          <w:color w:val="222222"/>
          <w:sz w:val="24"/>
          <w:szCs w:val="24"/>
          <w:highlight w:val="white"/>
        </w:rPr>
        <w:t>in the public debate on meaningful access (e.g., Women, Youth, NRIs, LGBTQIA+, Indigenous, People with Disabilities, Minority Langu</w:t>
      </w:r>
      <w:r>
        <w:rPr>
          <w:rFonts w:ascii="Times New Roman" w:eastAsia="Times New Roman" w:hAnsi="Times New Roman" w:cs="Times New Roman"/>
          <w:color w:val="222222"/>
          <w:sz w:val="24"/>
          <w:szCs w:val="24"/>
          <w:highlight w:val="white"/>
        </w:rPr>
        <w:t>ages Communities) by actively listening to them and having these groups lead on what are their challenges and viable solutions to be developed. Encourage their involvement in the current PNMA Process, starting from the considerations emerged during year 20</w:t>
      </w:r>
      <w:r>
        <w:rPr>
          <w:rFonts w:ascii="Times New Roman" w:eastAsia="Times New Roman" w:hAnsi="Times New Roman" w:cs="Times New Roman"/>
          <w:color w:val="222222"/>
          <w:sz w:val="24"/>
          <w:szCs w:val="24"/>
          <w:highlight w:val="white"/>
        </w:rPr>
        <w:t>23, about the relevance of gender gap for Meaningful Access. For 2024, particular attention needs to be paid to the emerging applications of A.I. that could improve the access experience for groups traditionally marginalized.</w:t>
      </w:r>
      <w:r>
        <w:rPr>
          <w:rFonts w:ascii="Times New Roman" w:eastAsia="Times New Roman" w:hAnsi="Times New Roman" w:cs="Times New Roman"/>
          <w:color w:val="222222"/>
          <w:sz w:val="24"/>
          <w:szCs w:val="24"/>
          <w:highlight w:val="white"/>
        </w:rPr>
        <w:br/>
      </w:r>
    </w:p>
    <w:p w14:paraId="6C34CA30" w14:textId="77777777" w:rsidR="007356D6" w:rsidRDefault="00D7602D">
      <w:pPr>
        <w:widowControl w:val="0"/>
        <w:numPr>
          <w:ilvl w:val="0"/>
          <w:numId w:val="10"/>
        </w:numPr>
        <w:spacing w:after="240"/>
        <w:jc w:val="both"/>
        <w:rPr>
          <w:rFonts w:ascii="Cambria" w:eastAsia="Cambria" w:hAnsi="Cambria" w:cs="Cambria"/>
          <w:sz w:val="24"/>
          <w:szCs w:val="24"/>
        </w:rPr>
      </w:pPr>
      <w:r>
        <w:rPr>
          <w:rFonts w:ascii="Times New Roman" w:eastAsia="Times New Roman" w:hAnsi="Times New Roman" w:cs="Times New Roman"/>
          <w:b/>
          <w:color w:val="222222"/>
          <w:sz w:val="24"/>
          <w:szCs w:val="24"/>
          <w:highlight w:val="white"/>
        </w:rPr>
        <w:t xml:space="preserve">Priority 3: </w:t>
      </w:r>
      <w:r>
        <w:rPr>
          <w:rFonts w:ascii="Times New Roman" w:eastAsia="Times New Roman" w:hAnsi="Times New Roman" w:cs="Times New Roman"/>
          <w:color w:val="222222"/>
          <w:sz w:val="24"/>
          <w:szCs w:val="24"/>
          <w:highlight w:val="white"/>
        </w:rPr>
        <w:t>Under the guidanc</w:t>
      </w:r>
      <w:r>
        <w:rPr>
          <w:rFonts w:ascii="Times New Roman" w:eastAsia="Times New Roman" w:hAnsi="Times New Roman" w:cs="Times New Roman"/>
          <w:color w:val="222222"/>
          <w:sz w:val="24"/>
          <w:szCs w:val="24"/>
          <w:highlight w:val="white"/>
        </w:rPr>
        <w:t xml:space="preserve">e and assistance of the IGF Secretariat, open a </w:t>
      </w:r>
      <w:r>
        <w:rPr>
          <w:rFonts w:ascii="Times New Roman" w:eastAsia="Times New Roman" w:hAnsi="Times New Roman" w:cs="Times New Roman"/>
          <w:b/>
          <w:color w:val="222222"/>
          <w:sz w:val="24"/>
          <w:szCs w:val="24"/>
          <w:highlight w:val="white"/>
        </w:rPr>
        <w:t xml:space="preserve">permanent dialogue between the PNMA community and institutional regional and global partners </w:t>
      </w:r>
      <w:r>
        <w:rPr>
          <w:rFonts w:ascii="Times New Roman" w:eastAsia="Times New Roman" w:hAnsi="Times New Roman" w:cs="Times New Roman"/>
          <w:color w:val="222222"/>
          <w:sz w:val="24"/>
          <w:szCs w:val="24"/>
          <w:highlight w:val="white"/>
        </w:rPr>
        <w:t>(such as the EU, the AU, and the OAS), in order to involve them directly in the PNMA activities and to encourage re</w:t>
      </w:r>
      <w:r>
        <w:rPr>
          <w:rFonts w:ascii="Times New Roman" w:eastAsia="Times New Roman" w:hAnsi="Times New Roman" w:cs="Times New Roman"/>
          <w:color w:val="222222"/>
          <w:sz w:val="24"/>
          <w:szCs w:val="24"/>
          <w:highlight w:val="white"/>
        </w:rPr>
        <w:t xml:space="preserve">gional projects’ replication and adaptation in other countries, with active participation of local actors. </w:t>
      </w:r>
    </w:p>
    <w:p w14:paraId="403D8900" w14:textId="77777777" w:rsidR="007356D6" w:rsidRDefault="007356D6">
      <w:pPr>
        <w:widowControl w:val="0"/>
        <w:spacing w:before="240" w:after="240" w:line="240" w:lineRule="auto"/>
        <w:jc w:val="both"/>
        <w:rPr>
          <w:rFonts w:ascii="Times New Roman" w:eastAsia="Times New Roman" w:hAnsi="Times New Roman" w:cs="Times New Roman"/>
          <w:color w:val="222222"/>
          <w:sz w:val="24"/>
          <w:szCs w:val="24"/>
          <w:highlight w:val="white"/>
        </w:rPr>
      </w:pPr>
    </w:p>
    <w:p w14:paraId="13BD9EB1" w14:textId="77777777" w:rsidR="007356D6" w:rsidRDefault="00D7602D">
      <w:pPr>
        <w:pStyle w:val="Heading3"/>
        <w:spacing w:line="240" w:lineRule="auto"/>
        <w:jc w:val="both"/>
        <w:rPr>
          <w:rFonts w:ascii="Times New Roman" w:eastAsia="Times New Roman" w:hAnsi="Times New Roman" w:cs="Times New Roman"/>
          <w:sz w:val="24"/>
          <w:szCs w:val="24"/>
        </w:rPr>
      </w:pPr>
      <w:bookmarkStart w:id="12" w:name="_ql9oprhrx7hj" w:colFirst="0" w:colLast="0"/>
      <w:bookmarkEnd w:id="12"/>
      <w:r>
        <w:rPr>
          <w:rFonts w:ascii="Times New Roman" w:eastAsia="Times New Roman" w:hAnsi="Times New Roman" w:cs="Times New Roman"/>
        </w:rPr>
        <w:t>Focus areas</w:t>
      </w:r>
    </w:p>
    <w:p w14:paraId="6C7DB009" w14:textId="77777777" w:rsidR="007356D6" w:rsidRDefault="00D7602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upon the last processes, the 2024 PNMA will keep focusing in the following themes:</w:t>
      </w:r>
    </w:p>
    <w:p w14:paraId="2CD72AE7" w14:textId="77777777" w:rsidR="007356D6" w:rsidRDefault="00D7602D">
      <w:pPr>
        <w:spacing w:before="240" w:after="24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Connectivity (infrastructure and busines</w:t>
      </w:r>
      <w:r>
        <w:rPr>
          <w:rFonts w:ascii="Times New Roman" w:eastAsia="Times New Roman" w:hAnsi="Times New Roman" w:cs="Times New Roman"/>
          <w:sz w:val="24"/>
          <w:szCs w:val="24"/>
        </w:rPr>
        <w:t>s models, analysed within the framework of the Roadmap for Digital Cooperation)</w:t>
      </w:r>
    </w:p>
    <w:p w14:paraId="5595AD78" w14:textId="77777777" w:rsidR="007356D6" w:rsidRDefault="00D7602D">
      <w:pPr>
        <w:spacing w:before="240" w:after="240" w:line="240" w:lineRule="auto"/>
        <w:ind w:left="108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 xml:space="preserve">Digital Inclusion (accessibility </w:t>
      </w:r>
      <w:r>
        <w:rPr>
          <w:rFonts w:ascii="Times New Roman" w:eastAsia="Times New Roman" w:hAnsi="Times New Roman" w:cs="Times New Roman"/>
          <w:color w:val="222222"/>
          <w:sz w:val="24"/>
          <w:szCs w:val="24"/>
        </w:rPr>
        <w:t>and multilingualism), with special attention to local contents in local languages, helping the digital transition of existing experiences</w:t>
      </w:r>
    </w:p>
    <w:p w14:paraId="6A2CAE5B" w14:textId="77777777" w:rsidR="007356D6" w:rsidRDefault="00D7602D">
      <w:pPr>
        <w:spacing w:after="240" w:line="240" w:lineRule="auto"/>
        <w:ind w:left="1080" w:hanging="360"/>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color w:val="222222"/>
          <w:sz w:val="24"/>
          <w:szCs w:val="24"/>
        </w:rPr>
        <w:t>Capacity Development (technical sk</w:t>
      </w:r>
      <w:r>
        <w:rPr>
          <w:rFonts w:ascii="Times New Roman" w:eastAsia="Times New Roman" w:hAnsi="Times New Roman" w:cs="Times New Roman"/>
          <w:sz w:val="24"/>
          <w:szCs w:val="24"/>
        </w:rPr>
        <w:t>ills training)</w:t>
      </w:r>
    </w:p>
    <w:p w14:paraId="4F29CA20" w14:textId="77777777" w:rsidR="007356D6" w:rsidRDefault="007356D6">
      <w:pPr>
        <w:spacing w:before="240" w:after="240"/>
        <w:rPr>
          <w:rFonts w:ascii="Times New Roman" w:eastAsia="Times New Roman" w:hAnsi="Times New Roman" w:cs="Times New Roman"/>
        </w:rPr>
      </w:pPr>
    </w:p>
    <w:p w14:paraId="113C0B24" w14:textId="77777777" w:rsidR="007356D6" w:rsidRDefault="00D7602D">
      <w:pPr>
        <w:pStyle w:val="Heading3"/>
        <w:spacing w:line="240" w:lineRule="auto"/>
        <w:jc w:val="both"/>
        <w:rPr>
          <w:rFonts w:ascii="Times New Roman" w:eastAsia="Times New Roman" w:hAnsi="Times New Roman" w:cs="Times New Roman"/>
        </w:rPr>
      </w:pPr>
      <w:bookmarkStart w:id="13" w:name="_nwn29fv5ihqj" w:colFirst="0" w:colLast="0"/>
      <w:bookmarkEnd w:id="13"/>
      <w:r>
        <w:rPr>
          <w:rFonts w:ascii="Times New Roman" w:eastAsia="Times New Roman" w:hAnsi="Times New Roman" w:cs="Times New Roman"/>
        </w:rPr>
        <w:t>Methodology</w:t>
      </w:r>
    </w:p>
    <w:p w14:paraId="47840B91" w14:textId="77777777" w:rsidR="007356D6" w:rsidRDefault="007356D6"/>
    <w:p w14:paraId="2FBC88F4" w14:textId="77777777" w:rsidR="007356D6" w:rsidRDefault="00D760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stated in the IGF 2021 messages, the PNMA efforts are not directed at “producing a unique definition, but [aim] to identify, map and understand the properties that those in the field identi</w:t>
      </w:r>
      <w:r>
        <w:rPr>
          <w:rFonts w:ascii="Times New Roman" w:eastAsia="Times New Roman" w:hAnsi="Times New Roman" w:cs="Times New Roman"/>
          <w:sz w:val="24"/>
          <w:szCs w:val="24"/>
        </w:rPr>
        <w:t>fied as key”</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to meaningful access. Starting from the previous database of stories and case studies collected throughout the last year, the PNMA MWG can shed light on the reasons why known, effective policy solutions currently lack scaling and/or localisat</w:t>
      </w:r>
      <w:r>
        <w:rPr>
          <w:rFonts w:ascii="Times New Roman" w:eastAsia="Times New Roman" w:hAnsi="Times New Roman" w:cs="Times New Roman"/>
          <w:sz w:val="24"/>
          <w:szCs w:val="24"/>
        </w:rPr>
        <w:t>ion in their implementation. The policy network aims to analyse the above mentioned focus areas by asking the following questions, which will lead the achievement of 2024 goals and priorities:</w:t>
      </w:r>
    </w:p>
    <w:p w14:paraId="6EDEB2DB" w14:textId="77777777" w:rsidR="007356D6" w:rsidRDefault="00D7602D">
      <w:pPr>
        <w:numPr>
          <w:ilvl w:val="0"/>
          <w:numId w:val="65"/>
        </w:numPr>
        <w:spacing w:before="240"/>
        <w:jc w:val="both"/>
      </w:pPr>
      <w:r>
        <w:rPr>
          <w:rFonts w:ascii="Times New Roman" w:eastAsia="Times New Roman" w:hAnsi="Times New Roman" w:cs="Times New Roman"/>
          <w:sz w:val="24"/>
          <w:szCs w:val="24"/>
        </w:rPr>
        <w:t>What has been done so far? Analyse gaps in policy</w:t>
      </w:r>
    </w:p>
    <w:p w14:paraId="708080EE" w14:textId="77777777" w:rsidR="007356D6" w:rsidRPr="00BB0B18" w:rsidRDefault="00D7602D">
      <w:pPr>
        <w:numPr>
          <w:ilvl w:val="0"/>
          <w:numId w:val="65"/>
        </w:numPr>
        <w:jc w:val="both"/>
        <w:rPr>
          <w:rFonts w:ascii="Times New Roman" w:eastAsia="Times New Roman" w:hAnsi="Times New Roman" w:cs="Times New Roman"/>
          <w:lang w:val="fr-CH"/>
        </w:rPr>
      </w:pPr>
      <w:r>
        <w:rPr>
          <w:rFonts w:ascii="Times New Roman" w:eastAsia="Times New Roman" w:hAnsi="Times New Roman" w:cs="Times New Roman"/>
          <w:sz w:val="24"/>
          <w:szCs w:val="24"/>
        </w:rPr>
        <w:t xml:space="preserve">What are the main challenges for project scaling? </w:t>
      </w:r>
      <w:r w:rsidRPr="00BB0B18">
        <w:rPr>
          <w:rFonts w:ascii="Times New Roman" w:eastAsia="Times New Roman" w:hAnsi="Times New Roman" w:cs="Times New Roman"/>
          <w:sz w:val="24"/>
          <w:szCs w:val="24"/>
          <w:lang w:val="fr-CH"/>
        </w:rPr>
        <w:t>Document loopholes via public debate/consultation</w:t>
      </w:r>
    </w:p>
    <w:p w14:paraId="0CDF1097" w14:textId="77777777" w:rsidR="007356D6" w:rsidRDefault="00D7602D">
      <w:pPr>
        <w:numPr>
          <w:ilvl w:val="0"/>
          <w:numId w:val="65"/>
        </w:numPr>
        <w:jc w:val="both"/>
        <w:rPr>
          <w:rFonts w:ascii="Times New Roman" w:eastAsia="Times New Roman" w:hAnsi="Times New Roman" w:cs="Times New Roman"/>
        </w:rPr>
      </w:pPr>
      <w:r>
        <w:rPr>
          <w:rFonts w:ascii="Times New Roman" w:eastAsia="Times New Roman" w:hAnsi="Times New Roman" w:cs="Times New Roman"/>
          <w:sz w:val="24"/>
          <w:szCs w:val="24"/>
        </w:rPr>
        <w:t>What are the common features which allow a project to be localised?</w:t>
      </w:r>
    </w:p>
    <w:p w14:paraId="648C3A82" w14:textId="77777777" w:rsidR="007356D6" w:rsidRDefault="00D7602D">
      <w:pPr>
        <w:numPr>
          <w:ilvl w:val="0"/>
          <w:numId w:val="65"/>
        </w:numPr>
        <w:jc w:val="both"/>
        <w:rPr>
          <w:rFonts w:ascii="Times New Roman" w:eastAsia="Times New Roman" w:hAnsi="Times New Roman" w:cs="Times New Roman"/>
        </w:rPr>
      </w:pPr>
      <w:r>
        <w:rPr>
          <w:rFonts w:ascii="Times New Roman" w:eastAsia="Times New Roman" w:hAnsi="Times New Roman" w:cs="Times New Roman"/>
          <w:sz w:val="24"/>
          <w:szCs w:val="24"/>
        </w:rPr>
        <w:t>What are the social elements that support meaningful access?</w:t>
      </w:r>
    </w:p>
    <w:p w14:paraId="72AD7C44" w14:textId="77777777" w:rsidR="007356D6" w:rsidRDefault="00D7602D">
      <w:pPr>
        <w:numPr>
          <w:ilvl w:val="0"/>
          <w:numId w:val="65"/>
        </w:numPr>
        <w:jc w:val="both"/>
        <w:rPr>
          <w:rFonts w:ascii="Times New Roman" w:eastAsia="Times New Roman" w:hAnsi="Times New Roman" w:cs="Times New Roman"/>
        </w:rPr>
      </w:pPr>
      <w:r>
        <w:rPr>
          <w:rFonts w:ascii="Times New Roman" w:eastAsia="Times New Roman" w:hAnsi="Times New Roman" w:cs="Times New Roman"/>
          <w:color w:val="222222"/>
          <w:sz w:val="24"/>
          <w:szCs w:val="24"/>
        </w:rPr>
        <w:t xml:space="preserve">Is </w:t>
      </w:r>
      <w:r>
        <w:rPr>
          <w:rFonts w:ascii="Times New Roman" w:eastAsia="Times New Roman" w:hAnsi="Times New Roman" w:cs="Times New Roman"/>
          <w:sz w:val="24"/>
          <w:szCs w:val="24"/>
        </w:rPr>
        <w:t xml:space="preserve">there any </w:t>
      </w:r>
      <w:r>
        <w:rPr>
          <w:rFonts w:ascii="Times New Roman" w:eastAsia="Times New Roman" w:hAnsi="Times New Roman" w:cs="Times New Roman"/>
          <w:color w:val="222222"/>
          <w:sz w:val="24"/>
          <w:szCs w:val="24"/>
        </w:rPr>
        <w:t>tested, multis</w:t>
      </w:r>
      <w:r>
        <w:rPr>
          <w:rFonts w:ascii="Times New Roman" w:eastAsia="Times New Roman" w:hAnsi="Times New Roman" w:cs="Times New Roman"/>
          <w:color w:val="222222"/>
          <w:sz w:val="24"/>
          <w:szCs w:val="24"/>
        </w:rPr>
        <w:t>takeholder business model that can be replicated into one or all of the analysed focus areas?</w:t>
      </w:r>
    </w:p>
    <w:p w14:paraId="04854441" w14:textId="77777777" w:rsidR="007356D6" w:rsidRDefault="00D7602D">
      <w:pPr>
        <w:numPr>
          <w:ilvl w:val="0"/>
          <w:numId w:val="65"/>
        </w:numPr>
        <w:jc w:val="both"/>
        <w:rPr>
          <w:rFonts w:ascii="Times New Roman" w:eastAsia="Times New Roman" w:hAnsi="Times New Roman" w:cs="Times New Roman"/>
        </w:rPr>
      </w:pPr>
      <w:r>
        <w:rPr>
          <w:rFonts w:ascii="Times New Roman" w:eastAsia="Times New Roman" w:hAnsi="Times New Roman" w:cs="Times New Roman"/>
          <w:color w:val="222222"/>
          <w:sz w:val="24"/>
          <w:szCs w:val="24"/>
        </w:rPr>
        <w:t>How to promote and improve good access and connectivity, so Internet use could produce positive social and economic impact?</w:t>
      </w:r>
    </w:p>
    <w:p w14:paraId="0798155C" w14:textId="77777777" w:rsidR="007356D6" w:rsidRDefault="00D7602D">
      <w:pPr>
        <w:numPr>
          <w:ilvl w:val="0"/>
          <w:numId w:val="65"/>
        </w:numPr>
        <w:jc w:val="both"/>
        <w:rPr>
          <w:rFonts w:ascii="Times New Roman" w:eastAsia="Times New Roman" w:hAnsi="Times New Roman" w:cs="Times New Roman"/>
        </w:rPr>
      </w:pPr>
      <w:r>
        <w:rPr>
          <w:rFonts w:ascii="Times New Roman" w:eastAsia="Times New Roman" w:hAnsi="Times New Roman" w:cs="Times New Roman"/>
          <w:color w:val="222222"/>
          <w:sz w:val="24"/>
          <w:szCs w:val="24"/>
        </w:rPr>
        <w:t>How to promote and improve the quality</w:t>
      </w:r>
      <w:r>
        <w:rPr>
          <w:rFonts w:ascii="Times New Roman" w:eastAsia="Times New Roman" w:hAnsi="Times New Roman" w:cs="Times New Roman"/>
          <w:color w:val="222222"/>
          <w:sz w:val="24"/>
          <w:szCs w:val="24"/>
        </w:rPr>
        <w:t xml:space="preserve"> of connectivity to support civic </w:t>
      </w:r>
      <w:r>
        <w:rPr>
          <w:rFonts w:ascii="Times New Roman" w:eastAsia="Times New Roman" w:hAnsi="Times New Roman" w:cs="Times New Roman"/>
          <w:sz w:val="24"/>
          <w:szCs w:val="24"/>
        </w:rPr>
        <w:t xml:space="preserve">engagement and e-government experiences and services </w:t>
      </w:r>
      <w:r>
        <w:rPr>
          <w:rFonts w:ascii="Times New Roman" w:eastAsia="Times New Roman" w:hAnsi="Times New Roman" w:cs="Times New Roman"/>
          <w:color w:val="222222"/>
          <w:sz w:val="24"/>
          <w:szCs w:val="24"/>
        </w:rPr>
        <w:t>?</w:t>
      </w:r>
    </w:p>
    <w:p w14:paraId="7078102F" w14:textId="77777777" w:rsidR="007356D6" w:rsidRDefault="00D7602D">
      <w:pPr>
        <w:numPr>
          <w:ilvl w:val="0"/>
          <w:numId w:val="65"/>
        </w:numPr>
        <w:jc w:val="both"/>
        <w:rPr>
          <w:rFonts w:ascii="Times New Roman" w:eastAsia="Times New Roman" w:hAnsi="Times New Roman" w:cs="Times New Roman"/>
          <w:color w:val="222222"/>
        </w:rPr>
      </w:pPr>
      <w:r>
        <w:rPr>
          <w:rFonts w:ascii="Times New Roman" w:eastAsia="Times New Roman" w:hAnsi="Times New Roman" w:cs="Times New Roman"/>
          <w:color w:val="222222"/>
          <w:sz w:val="24"/>
          <w:szCs w:val="24"/>
        </w:rPr>
        <w:t>How could multistakeholder partnerships be strengthened?</w:t>
      </w:r>
    </w:p>
    <w:p w14:paraId="4911C9E5" w14:textId="77777777" w:rsidR="007356D6" w:rsidRDefault="00D7602D">
      <w:pPr>
        <w:numPr>
          <w:ilvl w:val="0"/>
          <w:numId w:val="65"/>
        </w:numPr>
        <w:jc w:val="both"/>
        <w:rPr>
          <w:rFonts w:ascii="Times New Roman" w:eastAsia="Times New Roman" w:hAnsi="Times New Roman" w:cs="Times New Roman"/>
        </w:rPr>
      </w:pPr>
      <w:r>
        <w:rPr>
          <w:rFonts w:ascii="Times New Roman" w:eastAsia="Times New Roman" w:hAnsi="Times New Roman" w:cs="Times New Roman"/>
          <w:sz w:val="24"/>
          <w:szCs w:val="24"/>
        </w:rPr>
        <w:t>Is there a gap in networking, implementation, or continuity?</w:t>
      </w:r>
    </w:p>
    <w:p w14:paraId="4A7B228B" w14:textId="77777777" w:rsidR="007356D6" w:rsidRDefault="00D7602D">
      <w:pPr>
        <w:numPr>
          <w:ilvl w:val="0"/>
          <w:numId w:val="65"/>
        </w:numPr>
        <w:spacing w:after="240"/>
        <w:jc w:val="both"/>
        <w:rPr>
          <w:rFonts w:ascii="Times New Roman" w:eastAsia="Times New Roman" w:hAnsi="Times New Roman" w:cs="Times New Roman"/>
        </w:rPr>
      </w:pPr>
      <w:r>
        <w:rPr>
          <w:rFonts w:ascii="Times New Roman" w:eastAsia="Times New Roman" w:hAnsi="Times New Roman" w:cs="Times New Roman"/>
          <w:sz w:val="24"/>
          <w:szCs w:val="24"/>
        </w:rPr>
        <w:t>Is there any relevant case of A.I. application th</w:t>
      </w:r>
      <w:r>
        <w:rPr>
          <w:rFonts w:ascii="Times New Roman" w:eastAsia="Times New Roman" w:hAnsi="Times New Roman" w:cs="Times New Roman"/>
          <w:sz w:val="24"/>
          <w:szCs w:val="24"/>
        </w:rPr>
        <w:t>at has contributed to increase the meaningful access experience in some areas or for certain categories? Are these experiences replicable elsewhere and scalable?</w:t>
      </w:r>
    </w:p>
    <w:p w14:paraId="70E90BDB"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PNMA community plays a significant role in highlighting these initiatives and bringing att</w:t>
      </w:r>
      <w:r>
        <w:rPr>
          <w:rFonts w:ascii="Times New Roman" w:eastAsia="Times New Roman" w:hAnsi="Times New Roman" w:cs="Times New Roman"/>
          <w:sz w:val="24"/>
          <w:szCs w:val="24"/>
        </w:rPr>
        <w:t>ention to creative solutions derived from marginalised groups – hence the remarks compiled during the 2023 PNMA Plenary Session are so important. Moreover, a close relationship within and outside the IGF is crucial to ensure that the policy network’s activ</w:t>
      </w:r>
      <w:r>
        <w:rPr>
          <w:rFonts w:ascii="Times New Roman" w:eastAsia="Times New Roman" w:hAnsi="Times New Roman" w:cs="Times New Roman"/>
          <w:sz w:val="24"/>
          <w:szCs w:val="24"/>
        </w:rPr>
        <w:t>ities amplify the reach of successful experiences.</w:t>
      </w:r>
    </w:p>
    <w:p w14:paraId="3778B6D6" w14:textId="77777777" w:rsidR="007356D6" w:rsidRDefault="007356D6">
      <w:pPr>
        <w:spacing w:after="240"/>
        <w:jc w:val="both"/>
        <w:rPr>
          <w:rFonts w:ascii="Times New Roman" w:eastAsia="Times New Roman" w:hAnsi="Times New Roman" w:cs="Times New Roman"/>
          <w:sz w:val="24"/>
          <w:szCs w:val="24"/>
        </w:rPr>
      </w:pPr>
    </w:p>
    <w:p w14:paraId="2D0B0756" w14:textId="77777777" w:rsidR="007356D6" w:rsidRDefault="00D7602D">
      <w:pPr>
        <w:pStyle w:val="Heading3"/>
        <w:spacing w:line="240" w:lineRule="auto"/>
        <w:jc w:val="both"/>
        <w:rPr>
          <w:rFonts w:ascii="Times New Roman" w:eastAsia="Times New Roman" w:hAnsi="Times New Roman" w:cs="Times New Roman"/>
        </w:rPr>
      </w:pPr>
      <w:bookmarkStart w:id="14" w:name="_zghi5e5rgtce" w:colFirst="0" w:colLast="0"/>
      <w:bookmarkEnd w:id="14"/>
      <w:r>
        <w:rPr>
          <w:rFonts w:ascii="Times New Roman" w:eastAsia="Times New Roman" w:hAnsi="Times New Roman" w:cs="Times New Roman"/>
        </w:rPr>
        <w:lastRenderedPageBreak/>
        <w:t>Planned outputs</w:t>
      </w:r>
    </w:p>
    <w:p w14:paraId="1B252EAF" w14:textId="77777777" w:rsidR="007356D6" w:rsidRDefault="00D7602D">
      <w:pPr>
        <w:spacing w:before="240" w:after="240"/>
        <w:jc w:val="both"/>
        <w:rPr>
          <w:rFonts w:ascii="Cambria" w:eastAsia="Cambria" w:hAnsi="Cambria" w:cs="Cambria"/>
          <w:sz w:val="24"/>
          <w:szCs w:val="24"/>
        </w:rPr>
      </w:pPr>
      <w:r>
        <w:rPr>
          <w:rFonts w:ascii="Cambria" w:eastAsia="Cambria" w:hAnsi="Cambria" w:cs="Cambria"/>
          <w:sz w:val="24"/>
          <w:szCs w:val="24"/>
        </w:rPr>
        <w:t>Based on the methodology, a few outputs are expected at the end of the 2024 process; these are listed below as end results from the selected priorities.</w:t>
      </w:r>
    </w:p>
    <w:p w14:paraId="7C7CAB24" w14:textId="77777777" w:rsidR="007356D6" w:rsidRDefault="00D7602D">
      <w:pPr>
        <w:numPr>
          <w:ilvl w:val="0"/>
          <w:numId w:val="60"/>
        </w:numPr>
        <w:spacing w:before="240"/>
        <w:jc w:val="both"/>
        <w:rPr>
          <w:rFonts w:ascii="Cambria" w:eastAsia="Cambria" w:hAnsi="Cambria" w:cs="Cambria"/>
          <w:sz w:val="24"/>
          <w:szCs w:val="24"/>
        </w:rPr>
      </w:pPr>
      <w:r>
        <w:rPr>
          <w:rFonts w:ascii="Cambria" w:eastAsia="Cambria" w:hAnsi="Cambria" w:cs="Cambria"/>
          <w:b/>
          <w:i/>
          <w:sz w:val="24"/>
          <w:szCs w:val="24"/>
        </w:rPr>
        <w:t>[All priorities and discussions, in</w:t>
      </w:r>
      <w:r>
        <w:rPr>
          <w:rFonts w:ascii="Cambria" w:eastAsia="Cambria" w:hAnsi="Cambria" w:cs="Cambria"/>
          <w:b/>
          <w:i/>
          <w:sz w:val="24"/>
          <w:szCs w:val="24"/>
        </w:rPr>
        <w:t>cluding 2024 IGF PNMA Plenary Session in Riyadh]</w:t>
      </w:r>
      <w:r>
        <w:rPr>
          <w:rFonts w:ascii="Cambria" w:eastAsia="Cambria" w:hAnsi="Cambria" w:cs="Cambria"/>
          <w:sz w:val="24"/>
          <w:szCs w:val="24"/>
        </w:rPr>
        <w:t xml:space="preserve"> An informative output report that explores the Policy Network’s activities in depth and connects it with IGF 2024’s efforts on </w:t>
      </w:r>
      <w:r>
        <w:rPr>
          <w:rFonts w:ascii="Cambria" w:eastAsia="Cambria" w:hAnsi="Cambria" w:cs="Cambria"/>
          <w:b/>
          <w:sz w:val="24"/>
          <w:szCs w:val="24"/>
        </w:rPr>
        <w:t>“Building our Multistakeholder Digital Future”</w:t>
      </w:r>
      <w:r>
        <w:rPr>
          <w:rFonts w:ascii="Cambria" w:eastAsia="Cambria" w:hAnsi="Cambria" w:cs="Cambria"/>
          <w:sz w:val="24"/>
          <w:szCs w:val="24"/>
        </w:rPr>
        <w:t>. The production of a collaborative manuscript includes the following activities, not exclusively:</w:t>
      </w:r>
    </w:p>
    <w:p w14:paraId="55BE6D6D" w14:textId="77777777" w:rsidR="007356D6" w:rsidRDefault="00D7602D">
      <w:pPr>
        <w:numPr>
          <w:ilvl w:val="1"/>
          <w:numId w:val="60"/>
        </w:numPr>
        <w:jc w:val="both"/>
        <w:rPr>
          <w:rFonts w:ascii="Cambria" w:eastAsia="Cambria" w:hAnsi="Cambria" w:cs="Cambria"/>
          <w:sz w:val="24"/>
          <w:szCs w:val="24"/>
        </w:rPr>
      </w:pPr>
      <w:r>
        <w:rPr>
          <w:rFonts w:ascii="Cambria" w:eastAsia="Cambria" w:hAnsi="Cambria" w:cs="Cambria"/>
          <w:sz w:val="24"/>
          <w:szCs w:val="24"/>
        </w:rPr>
        <w:t>A follow-up survey with the selected 2023 cases, monitoring their implementation/scaling along the year</w:t>
      </w:r>
    </w:p>
    <w:p w14:paraId="0578D76D" w14:textId="77777777" w:rsidR="007356D6" w:rsidRDefault="00D7602D">
      <w:pPr>
        <w:numPr>
          <w:ilvl w:val="1"/>
          <w:numId w:val="60"/>
        </w:numPr>
        <w:jc w:val="both"/>
        <w:rPr>
          <w:rFonts w:ascii="Cambria" w:eastAsia="Cambria" w:hAnsi="Cambria" w:cs="Cambria"/>
          <w:sz w:val="24"/>
          <w:szCs w:val="24"/>
        </w:rPr>
      </w:pPr>
      <w:r>
        <w:rPr>
          <w:rFonts w:ascii="Cambria" w:eastAsia="Cambria" w:hAnsi="Cambria" w:cs="Cambria"/>
          <w:sz w:val="24"/>
          <w:szCs w:val="24"/>
        </w:rPr>
        <w:t xml:space="preserve">Follow-up and review of the key policy issues raised </w:t>
      </w:r>
      <w:r>
        <w:rPr>
          <w:rFonts w:ascii="Cambria" w:eastAsia="Cambria" w:hAnsi="Cambria" w:cs="Cambria"/>
          <w:sz w:val="24"/>
          <w:szCs w:val="24"/>
        </w:rPr>
        <w:t>in the 2023 output report</w:t>
      </w:r>
    </w:p>
    <w:p w14:paraId="07ED287F" w14:textId="77777777" w:rsidR="007356D6" w:rsidRDefault="00D7602D">
      <w:pPr>
        <w:numPr>
          <w:ilvl w:val="1"/>
          <w:numId w:val="60"/>
        </w:numPr>
        <w:shd w:val="clear" w:color="auto" w:fill="FFFFFF"/>
        <w:jc w:val="both"/>
        <w:rPr>
          <w:rFonts w:ascii="Cambria" w:eastAsia="Cambria" w:hAnsi="Cambria" w:cs="Cambria"/>
          <w:sz w:val="24"/>
          <w:szCs w:val="24"/>
        </w:rPr>
      </w:pPr>
      <w:r>
        <w:rPr>
          <w:rFonts w:ascii="Cambria" w:eastAsia="Cambria" w:hAnsi="Cambria" w:cs="Cambria"/>
          <w:sz w:val="24"/>
          <w:szCs w:val="24"/>
        </w:rPr>
        <w:t>A report section on intersessional work with Youth IGF, DCs, and/or NRIs</w:t>
      </w:r>
    </w:p>
    <w:p w14:paraId="303756F2" w14:textId="77777777" w:rsidR="007356D6" w:rsidRDefault="00D7602D">
      <w:pPr>
        <w:numPr>
          <w:ilvl w:val="1"/>
          <w:numId w:val="60"/>
        </w:numPr>
        <w:shd w:val="clear" w:color="auto" w:fill="FFFFFF"/>
        <w:jc w:val="both"/>
        <w:rPr>
          <w:rFonts w:ascii="Cambria" w:eastAsia="Cambria" w:hAnsi="Cambria" w:cs="Cambria"/>
          <w:sz w:val="24"/>
          <w:szCs w:val="24"/>
        </w:rPr>
      </w:pPr>
      <w:r>
        <w:rPr>
          <w:rFonts w:ascii="Cambria" w:eastAsia="Cambria" w:hAnsi="Cambria" w:cs="Cambria"/>
          <w:sz w:val="24"/>
          <w:szCs w:val="24"/>
        </w:rPr>
        <w:t>Engage with the activities connected to the 19</w:t>
      </w:r>
      <w:r>
        <w:rPr>
          <w:rFonts w:ascii="Cambria" w:eastAsia="Cambria" w:hAnsi="Cambria" w:cs="Cambria"/>
          <w:sz w:val="24"/>
          <w:szCs w:val="24"/>
          <w:vertAlign w:val="superscript"/>
        </w:rPr>
        <w:t>th</w:t>
      </w:r>
      <w:r>
        <w:rPr>
          <w:rFonts w:ascii="Cambria" w:eastAsia="Cambria" w:hAnsi="Cambria" w:cs="Cambria"/>
          <w:sz w:val="24"/>
          <w:szCs w:val="24"/>
        </w:rPr>
        <w:t xml:space="preserve"> IGF Theme “Advancing human rights and inclusion in the digital age”; out of the</w:t>
      </w:r>
      <w:hyperlink r:id="rId13">
        <w:r>
          <w:rPr>
            <w:rFonts w:ascii="Cambria" w:eastAsia="Cambria" w:hAnsi="Cambria" w:cs="Cambria"/>
            <w:sz w:val="24"/>
            <w:szCs w:val="24"/>
          </w:rPr>
          <w:t xml:space="preserve"> </w:t>
        </w:r>
      </w:hyperlink>
      <w:hyperlink r:id="rId14">
        <w:r>
          <w:rPr>
            <w:rFonts w:ascii="Cambria" w:eastAsia="Cambria" w:hAnsi="Cambria" w:cs="Cambria"/>
            <w:color w:val="1155CC"/>
            <w:sz w:val="24"/>
            <w:szCs w:val="24"/>
            <w:u w:val="single"/>
          </w:rPr>
          <w:t>four main themes</w:t>
        </w:r>
      </w:hyperlink>
      <w:r>
        <w:rPr>
          <w:rFonts w:ascii="Cambria" w:eastAsia="Cambria" w:hAnsi="Cambria" w:cs="Cambria"/>
          <w:sz w:val="24"/>
          <w:szCs w:val="24"/>
        </w:rPr>
        <w:t xml:space="preserve"> selected for this edition, meaningful access is one of the main tools to develop this advancement.</w:t>
      </w:r>
    </w:p>
    <w:p w14:paraId="560F4E57" w14:textId="77777777" w:rsidR="007356D6" w:rsidRDefault="00D7602D">
      <w:pPr>
        <w:numPr>
          <w:ilvl w:val="0"/>
          <w:numId w:val="60"/>
        </w:numPr>
        <w:jc w:val="both"/>
        <w:rPr>
          <w:rFonts w:ascii="Cambria" w:eastAsia="Cambria" w:hAnsi="Cambria" w:cs="Cambria"/>
          <w:sz w:val="24"/>
          <w:szCs w:val="24"/>
        </w:rPr>
      </w:pPr>
      <w:r>
        <w:rPr>
          <w:rFonts w:ascii="Cambria" w:eastAsia="Cambria" w:hAnsi="Cambria" w:cs="Cambria"/>
          <w:b/>
          <w:i/>
          <w:sz w:val="24"/>
          <w:szCs w:val="24"/>
        </w:rPr>
        <w:t>[Priority 1, supported by output report]</w:t>
      </w:r>
      <w:r>
        <w:rPr>
          <w:rFonts w:ascii="Cambria" w:eastAsia="Cambria" w:hAnsi="Cambria" w:cs="Cambria"/>
          <w:sz w:val="24"/>
          <w:szCs w:val="24"/>
        </w:rPr>
        <w:t xml:space="preserve"> Input to the GDC compass: </w:t>
      </w:r>
      <w:r>
        <w:rPr>
          <w:rFonts w:ascii="Cambria" w:eastAsia="Cambria" w:hAnsi="Cambria" w:cs="Cambria"/>
          <w:color w:val="FF0000"/>
          <w:sz w:val="24"/>
          <w:szCs w:val="24"/>
        </w:rPr>
        <w:t>first step (already done)</w:t>
      </w:r>
      <w:r>
        <w:rPr>
          <w:rFonts w:ascii="Cambria" w:eastAsia="Cambria" w:hAnsi="Cambria" w:cs="Cambria"/>
          <w:sz w:val="24"/>
          <w:szCs w:val="24"/>
        </w:rPr>
        <w:t xml:space="preserve"> </w:t>
      </w:r>
      <w:r>
        <w:rPr>
          <w:rFonts w:ascii="Cambria" w:eastAsia="Cambria" w:hAnsi="Cambria" w:cs="Cambria"/>
          <w:color w:val="FF0000"/>
          <w:sz w:val="24"/>
          <w:szCs w:val="24"/>
        </w:rPr>
        <w:t xml:space="preserve">contributing </w:t>
      </w:r>
      <w:r>
        <w:rPr>
          <w:rFonts w:ascii="Cambria" w:eastAsia="Cambria" w:hAnsi="Cambria" w:cs="Cambria"/>
          <w:sz w:val="24"/>
          <w:szCs w:val="24"/>
        </w:rPr>
        <w:t xml:space="preserve">to the preparation of the Summit of the Future 2024 </w:t>
      </w:r>
      <w:r>
        <w:rPr>
          <w:rFonts w:ascii="Cambria" w:eastAsia="Cambria" w:hAnsi="Cambria" w:cs="Cambria"/>
          <w:strike/>
          <w:sz w:val="24"/>
          <w:szCs w:val="24"/>
        </w:rPr>
        <w:t>(in the first months of activity)</w:t>
      </w:r>
      <w:r>
        <w:rPr>
          <w:rFonts w:ascii="Cambria" w:eastAsia="Cambria" w:hAnsi="Cambria" w:cs="Cambria"/>
          <w:sz w:val="24"/>
          <w:szCs w:val="24"/>
        </w:rPr>
        <w:t>; later in the PNMA process, follow-ups of the Summit of the Future and the preparation of WSIS and IGF +</w:t>
      </w:r>
      <w:r>
        <w:rPr>
          <w:rFonts w:ascii="Cambria" w:eastAsia="Cambria" w:hAnsi="Cambria" w:cs="Cambria"/>
          <w:sz w:val="24"/>
          <w:szCs w:val="24"/>
        </w:rPr>
        <w:t>20 debate.</w:t>
      </w:r>
    </w:p>
    <w:p w14:paraId="243D43F0" w14:textId="77777777" w:rsidR="007356D6" w:rsidRDefault="00D7602D">
      <w:pPr>
        <w:numPr>
          <w:ilvl w:val="0"/>
          <w:numId w:val="60"/>
        </w:numPr>
        <w:jc w:val="both"/>
        <w:rPr>
          <w:rFonts w:ascii="Cambria" w:eastAsia="Cambria" w:hAnsi="Cambria" w:cs="Cambria"/>
          <w:sz w:val="24"/>
          <w:szCs w:val="24"/>
        </w:rPr>
      </w:pPr>
      <w:r>
        <w:rPr>
          <w:rFonts w:ascii="Cambria" w:eastAsia="Cambria" w:hAnsi="Cambria" w:cs="Cambria"/>
          <w:b/>
          <w:i/>
          <w:sz w:val="24"/>
          <w:szCs w:val="24"/>
        </w:rPr>
        <w:t xml:space="preserve">[All priorities] </w:t>
      </w:r>
      <w:r>
        <w:rPr>
          <w:rFonts w:ascii="Cambria" w:eastAsia="Cambria" w:hAnsi="Cambria" w:cs="Cambria"/>
          <w:sz w:val="24"/>
          <w:szCs w:val="24"/>
        </w:rPr>
        <w:t>Update and expand the online and public repository for good practices, by opening a permanent round of applications for consideration</w:t>
      </w:r>
    </w:p>
    <w:p w14:paraId="5D6409FB" w14:textId="77777777" w:rsidR="007356D6" w:rsidRDefault="00D7602D">
      <w:pPr>
        <w:numPr>
          <w:ilvl w:val="0"/>
          <w:numId w:val="60"/>
        </w:numPr>
        <w:jc w:val="both"/>
        <w:rPr>
          <w:rFonts w:ascii="Cambria" w:eastAsia="Cambria" w:hAnsi="Cambria" w:cs="Cambria"/>
          <w:sz w:val="24"/>
          <w:szCs w:val="24"/>
        </w:rPr>
      </w:pPr>
      <w:r>
        <w:rPr>
          <w:rFonts w:ascii="Cambria" w:eastAsia="Cambria" w:hAnsi="Cambria" w:cs="Cambria"/>
          <w:b/>
          <w:i/>
          <w:sz w:val="24"/>
          <w:szCs w:val="24"/>
        </w:rPr>
        <w:t>[All priorities]</w:t>
      </w:r>
      <w:r>
        <w:rPr>
          <w:rFonts w:ascii="Cambria" w:eastAsia="Cambria" w:hAnsi="Cambria" w:cs="Cambria"/>
          <w:sz w:val="24"/>
          <w:szCs w:val="24"/>
        </w:rPr>
        <w:t xml:space="preserve"> Outreach and engagement activities for promotion of the PNMA agenda</w:t>
      </w:r>
    </w:p>
    <w:p w14:paraId="61DFBA13" w14:textId="77777777" w:rsidR="007356D6" w:rsidRDefault="00D7602D">
      <w:pPr>
        <w:numPr>
          <w:ilvl w:val="0"/>
          <w:numId w:val="60"/>
        </w:numPr>
        <w:jc w:val="both"/>
        <w:rPr>
          <w:rFonts w:ascii="Cambria" w:eastAsia="Cambria" w:hAnsi="Cambria" w:cs="Cambria"/>
          <w:sz w:val="24"/>
          <w:szCs w:val="24"/>
        </w:rPr>
      </w:pPr>
      <w:r>
        <w:rPr>
          <w:rFonts w:ascii="Cambria" w:eastAsia="Cambria" w:hAnsi="Cambria" w:cs="Cambria"/>
          <w:b/>
          <w:i/>
          <w:sz w:val="24"/>
          <w:szCs w:val="24"/>
        </w:rPr>
        <w:t>[Prioriti</w:t>
      </w:r>
      <w:r>
        <w:rPr>
          <w:rFonts w:ascii="Cambria" w:eastAsia="Cambria" w:hAnsi="Cambria" w:cs="Cambria"/>
          <w:b/>
          <w:i/>
          <w:sz w:val="24"/>
          <w:szCs w:val="24"/>
        </w:rPr>
        <w:t>es 1 and 2]</w:t>
      </w:r>
      <w:r>
        <w:rPr>
          <w:rFonts w:ascii="Cambria" w:eastAsia="Cambria" w:hAnsi="Cambria" w:cs="Cambria"/>
          <w:sz w:val="24"/>
          <w:szCs w:val="24"/>
        </w:rPr>
        <w:t xml:space="preserve"> Monitor updates regarding the key issues and considerations raised by the PNMA community during the 2023 Process</w:t>
      </w:r>
    </w:p>
    <w:p w14:paraId="5EF24736" w14:textId="77777777" w:rsidR="007356D6" w:rsidRDefault="00D7602D">
      <w:pPr>
        <w:numPr>
          <w:ilvl w:val="0"/>
          <w:numId w:val="60"/>
        </w:numPr>
        <w:jc w:val="both"/>
        <w:rPr>
          <w:rFonts w:ascii="Cambria" w:eastAsia="Cambria" w:hAnsi="Cambria" w:cs="Cambria"/>
          <w:sz w:val="24"/>
          <w:szCs w:val="24"/>
        </w:rPr>
      </w:pPr>
      <w:r>
        <w:rPr>
          <w:rFonts w:ascii="Cambria" w:eastAsia="Cambria" w:hAnsi="Cambria" w:cs="Cambria"/>
          <w:b/>
          <w:i/>
          <w:sz w:val="24"/>
          <w:szCs w:val="24"/>
        </w:rPr>
        <w:t>[Priorities 2 and 3]</w:t>
      </w:r>
      <w:r>
        <w:rPr>
          <w:rFonts w:ascii="Cambria" w:eastAsia="Cambria" w:hAnsi="Cambria" w:cs="Cambria"/>
          <w:sz w:val="24"/>
          <w:szCs w:val="24"/>
        </w:rPr>
        <w:t xml:space="preserve"> Promote public debates/webinars on shared experiences and challenges to access, featuring implementation actor</w:t>
      </w:r>
      <w:r>
        <w:rPr>
          <w:rFonts w:ascii="Cambria" w:eastAsia="Cambria" w:hAnsi="Cambria" w:cs="Cambria"/>
          <w:sz w:val="24"/>
          <w:szCs w:val="24"/>
        </w:rPr>
        <w:t>s and regional institutions that play a leading role in enabling successful experiences and policies for meaningful access.</w:t>
      </w:r>
    </w:p>
    <w:p w14:paraId="0FA2DA6E" w14:textId="77777777" w:rsidR="007356D6" w:rsidRDefault="00D7602D">
      <w:pPr>
        <w:numPr>
          <w:ilvl w:val="0"/>
          <w:numId w:val="60"/>
        </w:numPr>
        <w:spacing w:after="240"/>
        <w:jc w:val="both"/>
        <w:rPr>
          <w:rFonts w:ascii="Cambria" w:eastAsia="Cambria" w:hAnsi="Cambria" w:cs="Cambria"/>
          <w:sz w:val="24"/>
          <w:szCs w:val="24"/>
        </w:rPr>
      </w:pPr>
      <w:r>
        <w:rPr>
          <w:rFonts w:ascii="Cambria" w:eastAsia="Cambria" w:hAnsi="Cambria" w:cs="Cambria"/>
          <w:b/>
          <w:i/>
          <w:sz w:val="24"/>
          <w:szCs w:val="24"/>
        </w:rPr>
        <w:t>[Priority 3]</w:t>
      </w:r>
      <w:r>
        <w:rPr>
          <w:rFonts w:ascii="Cambria" w:eastAsia="Cambria" w:hAnsi="Cambria" w:cs="Cambria"/>
          <w:sz w:val="24"/>
          <w:szCs w:val="24"/>
        </w:rPr>
        <w:t xml:space="preserve"> Strengthen the networks and encourage new connections for advancing meaningful connectivity</w:t>
      </w:r>
    </w:p>
    <w:p w14:paraId="75A27271" w14:textId="77777777" w:rsidR="007356D6" w:rsidRDefault="007356D6">
      <w:pPr>
        <w:spacing w:after="240"/>
        <w:jc w:val="both"/>
        <w:rPr>
          <w:rFonts w:ascii="Times New Roman" w:eastAsia="Times New Roman" w:hAnsi="Times New Roman" w:cs="Times New Roman"/>
          <w:sz w:val="24"/>
          <w:szCs w:val="24"/>
        </w:rPr>
      </w:pPr>
    </w:p>
    <w:p w14:paraId="740D5A00" w14:textId="77777777" w:rsidR="007356D6" w:rsidRDefault="00D7602D">
      <w:pPr>
        <w:spacing w:after="2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achievement of each output is discussed in this report’s final considerations.</w:t>
      </w:r>
    </w:p>
    <w:p w14:paraId="3F42A311" w14:textId="77777777" w:rsidR="007356D6" w:rsidRDefault="007356D6">
      <w:pPr>
        <w:rPr>
          <w:rFonts w:ascii="Times New Roman" w:eastAsia="Times New Roman" w:hAnsi="Times New Roman" w:cs="Times New Roman"/>
          <w:color w:val="6AA84F"/>
        </w:rPr>
      </w:pPr>
    </w:p>
    <w:p w14:paraId="7A76A0C2" w14:textId="77777777" w:rsidR="007356D6" w:rsidRDefault="007356D6">
      <w:pPr>
        <w:rPr>
          <w:rFonts w:ascii="Times New Roman" w:eastAsia="Times New Roman" w:hAnsi="Times New Roman" w:cs="Times New Roman"/>
        </w:rPr>
      </w:pPr>
    </w:p>
    <w:p w14:paraId="34022DA9" w14:textId="77777777" w:rsidR="007356D6" w:rsidRDefault="00D7602D">
      <w:pPr>
        <w:rPr>
          <w:rFonts w:ascii="Times New Roman" w:eastAsia="Times New Roman" w:hAnsi="Times New Roman" w:cs="Times New Roman"/>
        </w:rPr>
      </w:pPr>
      <w:r>
        <w:br w:type="page"/>
      </w:r>
    </w:p>
    <w:p w14:paraId="529E778C" w14:textId="77777777" w:rsidR="007356D6" w:rsidRDefault="00D7602D">
      <w:pPr>
        <w:pStyle w:val="Heading2"/>
        <w:numPr>
          <w:ilvl w:val="0"/>
          <w:numId w:val="56"/>
        </w:numPr>
        <w:rPr>
          <w:rFonts w:ascii="Times New Roman" w:eastAsia="Times New Roman" w:hAnsi="Times New Roman" w:cs="Times New Roman"/>
        </w:rPr>
      </w:pPr>
      <w:bookmarkStart w:id="15" w:name="_ptu5iddbjkcp" w:colFirst="0" w:colLast="0"/>
      <w:bookmarkEnd w:id="15"/>
      <w:r>
        <w:rPr>
          <w:rFonts w:ascii="Times New Roman" w:eastAsia="Times New Roman" w:hAnsi="Times New Roman" w:cs="Times New Roman"/>
          <w:b/>
          <w:color w:val="38761D"/>
        </w:rPr>
        <w:lastRenderedPageBreak/>
        <w:t>The Public Debate on Meaningful Access</w:t>
      </w:r>
    </w:p>
    <w:p w14:paraId="245D16D2" w14:textId="77777777" w:rsidR="007356D6" w:rsidRDefault="00D7602D">
      <w:pPr>
        <w:spacing w:before="240" w:after="2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[as an intro, comments on the debates and discussions around the PNMA process will be presented]</w:t>
      </w:r>
    </w:p>
    <w:p w14:paraId="22412B6A" w14:textId="77777777" w:rsidR="007356D6" w:rsidRDefault="00D7602D">
      <w:pPr>
        <w:spacing w:before="240" w:after="240"/>
        <w:jc w:val="both"/>
      </w:pPr>
      <w:r>
        <w:rPr>
          <w:rFonts w:ascii="Times New Roman" w:eastAsia="Times New Roman" w:hAnsi="Times New Roman" w:cs="Times New Roman"/>
          <w:sz w:val="24"/>
          <w:szCs w:val="24"/>
        </w:rPr>
        <w:t>Before delving into the 2024 jour</w:t>
      </w:r>
      <w:r>
        <w:rPr>
          <w:rFonts w:ascii="Times New Roman" w:eastAsia="Times New Roman" w:hAnsi="Times New Roman" w:cs="Times New Roman"/>
          <w:sz w:val="24"/>
          <w:szCs w:val="24"/>
        </w:rPr>
        <w:t>ney, this section explores some of the compiled knowledge on the incremental discussions held by the PNMA. To start, there is a reference list of the most relevant literature on meaningful access, collated between 2024 and the current year. We also investi</w:t>
      </w:r>
      <w:r>
        <w:rPr>
          <w:rFonts w:ascii="Times New Roman" w:eastAsia="Times New Roman" w:hAnsi="Times New Roman" w:cs="Times New Roman"/>
          <w:sz w:val="24"/>
          <w:szCs w:val="24"/>
        </w:rPr>
        <w:t xml:space="preserve">gate references on meaningful access on the adopted text for the Global Digital Compact. Finally, we present the key issues and considerations around meaningful access raised at the PNMA Plenary Session in 2023, and how has the policy network responded to </w:t>
      </w:r>
      <w:r>
        <w:rPr>
          <w:rFonts w:ascii="Times New Roman" w:eastAsia="Times New Roman" w:hAnsi="Times New Roman" w:cs="Times New Roman"/>
          <w:sz w:val="24"/>
          <w:szCs w:val="24"/>
        </w:rPr>
        <w:t>them throughout the 2024 process.</w:t>
      </w:r>
    </w:p>
    <w:p w14:paraId="392B5308" w14:textId="77777777" w:rsidR="007356D6" w:rsidRDefault="00D7602D">
      <w:pPr>
        <w:pStyle w:val="Heading3"/>
        <w:numPr>
          <w:ilvl w:val="1"/>
          <w:numId w:val="56"/>
        </w:numPr>
      </w:pPr>
      <w:bookmarkStart w:id="16" w:name="_qfjnotuuwa5v" w:colFirst="0" w:colLast="0"/>
      <w:bookmarkEnd w:id="16"/>
      <w:r>
        <w:rPr>
          <w:rFonts w:ascii="Times New Roman" w:eastAsia="Times New Roman" w:hAnsi="Times New Roman" w:cs="Times New Roman"/>
          <w:color w:val="38761D"/>
        </w:rPr>
        <w:t>Literature on Meaningful Access: a 2021-2024 list endorsed by the PNMA</w:t>
      </w:r>
      <w:r>
        <w:rPr>
          <w:rFonts w:ascii="Times New Roman" w:eastAsia="Times New Roman" w:hAnsi="Times New Roman" w:cs="Times New Roman"/>
          <w:color w:val="38761D"/>
        </w:rPr>
        <w:br/>
      </w:r>
    </w:p>
    <w:p w14:paraId="4E1D255C" w14:textId="77777777" w:rsidR="007356D6" w:rsidRDefault="00D7602D">
      <w:pPr>
        <w:spacing w:before="240" w:after="240"/>
        <w:jc w:val="both"/>
      </w:pPr>
      <w:r>
        <w:rPr>
          <w:rFonts w:ascii="Times New Roman" w:eastAsia="Times New Roman" w:hAnsi="Times New Roman" w:cs="Times New Roman"/>
          <w:sz w:val="24"/>
          <w:szCs w:val="24"/>
          <w:highlight w:val="yellow"/>
        </w:rPr>
        <w:t>[to be collated from community discussions and members references until early</w:t>
      </w:r>
      <w:commentRangeStart w:id="17"/>
      <w:r>
        <w:rPr>
          <w:rFonts w:ascii="Times New Roman" w:eastAsia="Times New Roman" w:hAnsi="Times New Roman" w:cs="Times New Roman"/>
          <w:sz w:val="24"/>
          <w:szCs w:val="24"/>
          <w:highlight w:val="yellow"/>
        </w:rPr>
        <w:t xml:space="preserve"> December]</w:t>
      </w:r>
      <w:commentRangeEnd w:id="17"/>
      <w:r>
        <w:commentReference w:id="17"/>
      </w:r>
      <w:r>
        <w:rPr>
          <w:rFonts w:ascii="Times New Roman" w:eastAsia="Times New Roman" w:hAnsi="Times New Roman" w:cs="Times New Roman"/>
          <w:sz w:val="24"/>
          <w:szCs w:val="24"/>
          <w:highlight w:val="yellow"/>
        </w:rPr>
        <w:t xml:space="preserve"> </w:t>
      </w:r>
    </w:p>
    <w:tbl>
      <w:tblPr>
        <w:tblStyle w:val="a"/>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6"/>
        <w:gridCol w:w="2115"/>
        <w:gridCol w:w="1440"/>
        <w:gridCol w:w="2764"/>
        <w:gridCol w:w="1495"/>
      </w:tblGrid>
      <w:tr w:rsidR="007356D6" w14:paraId="70116BA7" w14:textId="77777777">
        <w:trPr>
          <w:trHeight w:val="797"/>
        </w:trPr>
        <w:tc>
          <w:tcPr>
            <w:tcW w:w="2535" w:type="dxa"/>
            <w:shd w:val="clear" w:color="auto" w:fill="auto"/>
            <w:tcMar>
              <w:top w:w="100" w:type="dxa"/>
              <w:left w:w="100" w:type="dxa"/>
              <w:bottom w:w="100" w:type="dxa"/>
              <w:right w:w="100" w:type="dxa"/>
            </w:tcMar>
          </w:tcPr>
          <w:p w14:paraId="4F2F10E3" w14:textId="77777777" w:rsidR="007356D6" w:rsidRDefault="00D7602D">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c>
          <w:tcPr>
            <w:tcW w:w="2115" w:type="dxa"/>
            <w:shd w:val="clear" w:color="auto" w:fill="auto"/>
            <w:tcMar>
              <w:top w:w="100" w:type="dxa"/>
              <w:left w:w="100" w:type="dxa"/>
              <w:bottom w:w="100" w:type="dxa"/>
              <w:right w:w="100" w:type="dxa"/>
            </w:tcMar>
          </w:tcPr>
          <w:p w14:paraId="5BA7C5D4" w14:textId="77777777" w:rsidR="007356D6" w:rsidRDefault="00D7602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AUTHOR</w:t>
            </w:r>
          </w:p>
          <w:p w14:paraId="4E5D4F66" w14:textId="77777777" w:rsidR="007356D6" w:rsidRDefault="00D7602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w:t>
            </w:r>
          </w:p>
        </w:tc>
        <w:tc>
          <w:tcPr>
            <w:tcW w:w="1440" w:type="dxa"/>
            <w:shd w:val="clear" w:color="auto" w:fill="auto"/>
            <w:tcMar>
              <w:top w:w="100" w:type="dxa"/>
              <w:left w:w="100" w:type="dxa"/>
              <w:bottom w:w="100" w:type="dxa"/>
              <w:right w:w="100" w:type="dxa"/>
            </w:tcMar>
          </w:tcPr>
          <w:p w14:paraId="6CBBDFC8" w14:textId="77777777" w:rsidR="007356D6" w:rsidRDefault="00D7602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PUBLICATION</w:t>
            </w:r>
            <w:r>
              <w:rPr>
                <w:rFonts w:ascii="Times New Roman" w:eastAsia="Times New Roman" w:hAnsi="Times New Roman" w:cs="Times New Roman"/>
                <w:sz w:val="24"/>
                <w:szCs w:val="24"/>
              </w:rPr>
              <w:br/>
              <w:t>YEAR</w:t>
            </w:r>
          </w:p>
        </w:tc>
        <w:tc>
          <w:tcPr>
            <w:tcW w:w="2764" w:type="dxa"/>
            <w:shd w:val="clear" w:color="auto" w:fill="auto"/>
            <w:tcMar>
              <w:top w:w="100" w:type="dxa"/>
              <w:left w:w="100" w:type="dxa"/>
              <w:bottom w:w="100" w:type="dxa"/>
              <w:right w:w="100" w:type="dxa"/>
            </w:tcMar>
          </w:tcPr>
          <w:p w14:paraId="7E84F2CA" w14:textId="77777777" w:rsidR="007356D6" w:rsidRDefault="00D7602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ONLINE AT</w:t>
            </w:r>
          </w:p>
        </w:tc>
        <w:tc>
          <w:tcPr>
            <w:tcW w:w="1495" w:type="dxa"/>
            <w:shd w:val="clear" w:color="auto" w:fill="auto"/>
            <w:tcMar>
              <w:top w:w="100" w:type="dxa"/>
              <w:left w:w="100" w:type="dxa"/>
              <w:bottom w:w="100" w:type="dxa"/>
              <w:right w:w="100" w:type="dxa"/>
            </w:tcMar>
          </w:tcPr>
          <w:p w14:paraId="4D632864" w14:textId="77777777" w:rsidR="007356D6" w:rsidRDefault="00D7602D">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MAIN FOCUS AREA</w:t>
            </w:r>
          </w:p>
        </w:tc>
      </w:tr>
      <w:tr w:rsidR="007356D6" w14:paraId="0237F4FD" w14:textId="77777777">
        <w:tc>
          <w:tcPr>
            <w:tcW w:w="2535" w:type="dxa"/>
            <w:shd w:val="clear" w:color="auto" w:fill="auto"/>
            <w:tcMar>
              <w:top w:w="100" w:type="dxa"/>
              <w:left w:w="100" w:type="dxa"/>
              <w:bottom w:w="100" w:type="dxa"/>
              <w:right w:w="100" w:type="dxa"/>
            </w:tcMar>
          </w:tcPr>
          <w:p w14:paraId="675BD203" w14:textId="77777777" w:rsidR="007356D6" w:rsidRDefault="00D760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Policy Guide: Towards Meaningful Connectivity</w:t>
            </w:r>
          </w:p>
        </w:tc>
        <w:tc>
          <w:tcPr>
            <w:tcW w:w="2115" w:type="dxa"/>
            <w:shd w:val="clear" w:color="auto" w:fill="auto"/>
            <w:tcMar>
              <w:top w:w="100" w:type="dxa"/>
              <w:left w:w="100" w:type="dxa"/>
              <w:bottom w:w="100" w:type="dxa"/>
              <w:right w:w="100" w:type="dxa"/>
            </w:tcMar>
          </w:tcPr>
          <w:p w14:paraId="4894B01B" w14:textId="77777777" w:rsidR="007356D6" w:rsidRDefault="00D760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A4AI - Alliance for Affordable Internet</w:t>
            </w:r>
          </w:p>
        </w:tc>
        <w:tc>
          <w:tcPr>
            <w:tcW w:w="1440" w:type="dxa"/>
            <w:shd w:val="clear" w:color="auto" w:fill="auto"/>
            <w:tcMar>
              <w:top w:w="100" w:type="dxa"/>
              <w:left w:w="100" w:type="dxa"/>
              <w:bottom w:w="100" w:type="dxa"/>
              <w:right w:w="100" w:type="dxa"/>
            </w:tcMar>
          </w:tcPr>
          <w:p w14:paraId="0B34CEAF" w14:textId="77777777" w:rsidR="007356D6" w:rsidRDefault="00D760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2764" w:type="dxa"/>
            <w:shd w:val="clear" w:color="auto" w:fill="auto"/>
            <w:tcMar>
              <w:top w:w="100" w:type="dxa"/>
              <w:left w:w="100" w:type="dxa"/>
              <w:bottom w:w="100" w:type="dxa"/>
              <w:right w:w="100" w:type="dxa"/>
            </w:tcMar>
          </w:tcPr>
          <w:p w14:paraId="03E9BF02" w14:textId="77777777" w:rsidR="007356D6" w:rsidRDefault="00D760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hyperlink r:id="rId17">
              <w:r>
                <w:rPr>
                  <w:rFonts w:ascii="Times New Roman" w:eastAsia="Times New Roman" w:hAnsi="Times New Roman" w:cs="Times New Roman"/>
                  <w:color w:val="1155CC"/>
                  <w:sz w:val="24"/>
                  <w:szCs w:val="24"/>
                  <w:u w:val="single"/>
                </w:rPr>
                <w:t>https://a4ai.org/wp-content/uploads/2021/10/Policy-Guide-Towards-Meaningful-Connectivity.pdf</w:t>
              </w:r>
            </w:hyperlink>
            <w:r>
              <w:rPr>
                <w:rFonts w:ascii="Times New Roman" w:eastAsia="Times New Roman" w:hAnsi="Times New Roman" w:cs="Times New Roman"/>
                <w:sz w:val="24"/>
                <w:szCs w:val="24"/>
              </w:rPr>
              <w:t xml:space="preserve"> </w:t>
            </w:r>
          </w:p>
        </w:tc>
        <w:tc>
          <w:tcPr>
            <w:tcW w:w="1495" w:type="dxa"/>
            <w:shd w:val="clear" w:color="auto" w:fill="auto"/>
            <w:tcMar>
              <w:top w:w="100" w:type="dxa"/>
              <w:left w:w="100" w:type="dxa"/>
              <w:bottom w:w="100" w:type="dxa"/>
              <w:right w:w="100" w:type="dxa"/>
            </w:tcMar>
          </w:tcPr>
          <w:p w14:paraId="39516261" w14:textId="77777777" w:rsidR="007356D6" w:rsidRDefault="00D760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Connectivity / Digital Inclusion</w:t>
            </w:r>
          </w:p>
        </w:tc>
      </w:tr>
      <w:tr w:rsidR="007356D6" w14:paraId="54121CC4" w14:textId="77777777">
        <w:tc>
          <w:tcPr>
            <w:tcW w:w="2535" w:type="dxa"/>
            <w:shd w:val="clear" w:color="auto" w:fill="auto"/>
            <w:tcMar>
              <w:top w:w="100" w:type="dxa"/>
              <w:left w:w="100" w:type="dxa"/>
              <w:bottom w:w="100" w:type="dxa"/>
              <w:right w:w="100" w:type="dxa"/>
            </w:tcMar>
          </w:tcPr>
          <w:p w14:paraId="37BE47E8" w14:textId="77777777" w:rsidR="007356D6" w:rsidRDefault="00D760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15" w:type="dxa"/>
            <w:shd w:val="clear" w:color="auto" w:fill="auto"/>
            <w:tcMar>
              <w:top w:w="100" w:type="dxa"/>
              <w:left w:w="100" w:type="dxa"/>
              <w:bottom w:w="100" w:type="dxa"/>
              <w:right w:w="100" w:type="dxa"/>
            </w:tcMar>
          </w:tcPr>
          <w:p w14:paraId="19D95964"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14:paraId="42470E18"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764" w:type="dxa"/>
            <w:shd w:val="clear" w:color="auto" w:fill="auto"/>
            <w:tcMar>
              <w:top w:w="100" w:type="dxa"/>
              <w:left w:w="100" w:type="dxa"/>
              <w:bottom w:w="100" w:type="dxa"/>
              <w:right w:w="100" w:type="dxa"/>
            </w:tcMar>
          </w:tcPr>
          <w:p w14:paraId="3AF49479"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95" w:type="dxa"/>
            <w:shd w:val="clear" w:color="auto" w:fill="auto"/>
            <w:tcMar>
              <w:top w:w="100" w:type="dxa"/>
              <w:left w:w="100" w:type="dxa"/>
              <w:bottom w:w="100" w:type="dxa"/>
              <w:right w:w="100" w:type="dxa"/>
            </w:tcMar>
          </w:tcPr>
          <w:p w14:paraId="53F0B30F"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7356D6" w14:paraId="4177084A" w14:textId="77777777">
        <w:tc>
          <w:tcPr>
            <w:tcW w:w="2535" w:type="dxa"/>
            <w:shd w:val="clear" w:color="auto" w:fill="auto"/>
            <w:tcMar>
              <w:top w:w="100" w:type="dxa"/>
              <w:left w:w="100" w:type="dxa"/>
              <w:bottom w:w="100" w:type="dxa"/>
              <w:right w:w="100" w:type="dxa"/>
            </w:tcMar>
          </w:tcPr>
          <w:p w14:paraId="55E66EA2" w14:textId="77777777" w:rsidR="007356D6" w:rsidRDefault="00D760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15" w:type="dxa"/>
            <w:shd w:val="clear" w:color="auto" w:fill="auto"/>
            <w:tcMar>
              <w:top w:w="100" w:type="dxa"/>
              <w:left w:w="100" w:type="dxa"/>
              <w:bottom w:w="100" w:type="dxa"/>
              <w:right w:w="100" w:type="dxa"/>
            </w:tcMar>
          </w:tcPr>
          <w:p w14:paraId="042F181E"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14:paraId="1DBCF385"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764" w:type="dxa"/>
            <w:shd w:val="clear" w:color="auto" w:fill="auto"/>
            <w:tcMar>
              <w:top w:w="100" w:type="dxa"/>
              <w:left w:w="100" w:type="dxa"/>
              <w:bottom w:w="100" w:type="dxa"/>
              <w:right w:w="100" w:type="dxa"/>
            </w:tcMar>
          </w:tcPr>
          <w:p w14:paraId="74D6E6C4"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95" w:type="dxa"/>
            <w:shd w:val="clear" w:color="auto" w:fill="auto"/>
            <w:tcMar>
              <w:top w:w="100" w:type="dxa"/>
              <w:left w:w="100" w:type="dxa"/>
              <w:bottom w:w="100" w:type="dxa"/>
              <w:right w:w="100" w:type="dxa"/>
            </w:tcMar>
          </w:tcPr>
          <w:p w14:paraId="735FE8E8"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0E85CA0A" w14:textId="77777777" w:rsidR="007356D6" w:rsidRDefault="007356D6">
      <w:pPr>
        <w:pStyle w:val="Heading3"/>
        <w:rPr>
          <w:rFonts w:ascii="Times New Roman" w:eastAsia="Times New Roman" w:hAnsi="Times New Roman" w:cs="Times New Roman"/>
          <w:color w:val="000000"/>
          <w:sz w:val="24"/>
          <w:szCs w:val="24"/>
        </w:rPr>
      </w:pPr>
      <w:bookmarkStart w:id="18" w:name="_kzoldw7iremt" w:colFirst="0" w:colLast="0"/>
      <w:bookmarkEnd w:id="18"/>
    </w:p>
    <w:p w14:paraId="3DA49C3A" w14:textId="77777777" w:rsidR="007356D6" w:rsidRDefault="00D7602D">
      <w:pPr>
        <w:pStyle w:val="Heading3"/>
        <w:numPr>
          <w:ilvl w:val="1"/>
          <w:numId w:val="56"/>
        </w:numPr>
      </w:pPr>
      <w:bookmarkStart w:id="19" w:name="_fwespwpms4xt" w:colFirst="0" w:colLast="0"/>
      <w:bookmarkEnd w:id="19"/>
      <w:r>
        <w:rPr>
          <w:rFonts w:ascii="Times New Roman" w:eastAsia="Times New Roman" w:hAnsi="Times New Roman" w:cs="Times New Roman"/>
          <w:color w:val="38761D"/>
        </w:rPr>
        <w:t>The Global Digital Compact: Mentions to Meaningful Access</w:t>
      </w:r>
    </w:p>
    <w:p w14:paraId="6F0A388E" w14:textId="77777777" w:rsidR="007356D6" w:rsidRDefault="007356D6"/>
    <w:p w14:paraId="76289778" w14:textId="77777777" w:rsidR="007356D6" w:rsidRDefault="00D7602D">
      <w:pPr>
        <w:rPr>
          <w:rFonts w:ascii="Times New Roman" w:eastAsia="Times New Roman" w:hAnsi="Times New Roman" w:cs="Times New Roman"/>
          <w:highlight w:val="yellow"/>
        </w:rPr>
      </w:pPr>
      <w:r>
        <w:rPr>
          <w:rFonts w:ascii="Times New Roman" w:eastAsia="Times New Roman" w:hAnsi="Times New Roman" w:cs="Times New Roman"/>
          <w:highlight w:val="yellow"/>
        </w:rPr>
        <w:t>[to be added]</w:t>
      </w:r>
    </w:p>
    <w:p w14:paraId="0E47C86A" w14:textId="77777777" w:rsidR="007356D6" w:rsidRDefault="00D7602D">
      <w:pPr>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From the Pact of the Future , </w:t>
      </w:r>
    </w:p>
    <w:p w14:paraId="72E03AAF" w14:textId="77777777" w:rsidR="007356D6" w:rsidRDefault="00D7602D">
      <w:pPr>
        <w:rPr>
          <w:rFonts w:ascii="Times New Roman" w:eastAsia="Times New Roman" w:hAnsi="Times New Roman" w:cs="Times New Roman"/>
          <w:highlight w:val="yellow"/>
        </w:rPr>
      </w:pPr>
      <w:r>
        <w:rPr>
          <w:rFonts w:ascii="Times New Roman" w:eastAsia="Times New Roman" w:hAnsi="Times New Roman" w:cs="Times New Roman"/>
          <w:highlight w:val="yellow"/>
        </w:rPr>
        <w:t>approved on September 22 at the UN</w:t>
      </w:r>
    </w:p>
    <w:p w14:paraId="1F3843E9" w14:textId="77777777" w:rsidR="007356D6" w:rsidRDefault="007356D6"/>
    <w:p w14:paraId="4C9210B2" w14:textId="77777777" w:rsidR="007356D6" w:rsidRDefault="00D7602D">
      <w:pPr>
        <w:rPr>
          <w:color w:val="FF0000"/>
        </w:rPr>
      </w:pPr>
      <w:r>
        <w:rPr>
          <w:color w:val="FF0000"/>
        </w:rPr>
        <w:t>III. Science, technology and innovation and digital cooperation</w:t>
      </w:r>
    </w:p>
    <w:p w14:paraId="1A974858" w14:textId="77777777" w:rsidR="007356D6" w:rsidRDefault="00D7602D">
      <w:pPr>
        <w:rPr>
          <w:color w:val="FF0000"/>
        </w:rPr>
      </w:pPr>
      <w:r>
        <w:rPr>
          <w:color w:val="FF0000"/>
        </w:rPr>
        <w:t>49. Science, technology and innovation have the potential to accelerate the</w:t>
      </w:r>
    </w:p>
    <w:p w14:paraId="38BF1CFA" w14:textId="77777777" w:rsidR="007356D6" w:rsidRDefault="00D7602D">
      <w:pPr>
        <w:rPr>
          <w:color w:val="FF0000"/>
        </w:rPr>
      </w:pPr>
      <w:r>
        <w:rPr>
          <w:color w:val="FF0000"/>
        </w:rPr>
        <w:t>realization of the aspirations of the United Nations across all three pillars of</w:t>
      </w:r>
      <w:r>
        <w:rPr>
          <w:color w:val="FF0000"/>
        </w:rPr>
        <w:t xml:space="preserve"> its</w:t>
      </w:r>
    </w:p>
    <w:p w14:paraId="16C787D4" w14:textId="77777777" w:rsidR="007356D6" w:rsidRDefault="00D7602D">
      <w:pPr>
        <w:rPr>
          <w:color w:val="FF0000"/>
        </w:rPr>
      </w:pPr>
      <w:r>
        <w:rPr>
          <w:color w:val="FF0000"/>
        </w:rPr>
        <w:t>work. We will only realize this potential through international cooperation to</w:t>
      </w:r>
    </w:p>
    <w:p w14:paraId="7FB27DCB" w14:textId="77777777" w:rsidR="007356D6" w:rsidRDefault="00D7602D">
      <w:pPr>
        <w:rPr>
          <w:color w:val="FF0000"/>
        </w:rPr>
      </w:pPr>
      <w:r>
        <w:rPr>
          <w:color w:val="FF0000"/>
        </w:rPr>
        <w:t>harness the benefits and take bold, ambitious and decisive steps to bridge the</w:t>
      </w:r>
    </w:p>
    <w:p w14:paraId="7D90D445" w14:textId="77777777" w:rsidR="007356D6" w:rsidRDefault="00D7602D">
      <w:pPr>
        <w:rPr>
          <w:color w:val="FF0000"/>
        </w:rPr>
      </w:pPr>
      <w:r>
        <w:rPr>
          <w:color w:val="FF0000"/>
        </w:rPr>
        <w:t>growing divide within and between developed and developing countries and</w:t>
      </w:r>
    </w:p>
    <w:p w14:paraId="382C6144" w14:textId="77777777" w:rsidR="007356D6" w:rsidRDefault="00D7602D">
      <w:pPr>
        <w:rPr>
          <w:color w:val="FF0000"/>
        </w:rPr>
      </w:pPr>
      <w:r>
        <w:rPr>
          <w:color w:val="FF0000"/>
        </w:rPr>
        <w:t xml:space="preserve">accelerate progress </w:t>
      </w:r>
      <w:r>
        <w:rPr>
          <w:color w:val="FF0000"/>
        </w:rPr>
        <w:t>on the 2030 Agenda. Billions of people, especially in</w:t>
      </w:r>
    </w:p>
    <w:p w14:paraId="199C2D78" w14:textId="77777777" w:rsidR="007356D6" w:rsidRDefault="00D7602D">
      <w:pPr>
        <w:rPr>
          <w:color w:val="FF0000"/>
        </w:rPr>
      </w:pPr>
      <w:r>
        <w:rPr>
          <w:color w:val="FF0000"/>
        </w:rPr>
        <w:t>developing countries, do not have meaningful access to critical life-changing</w:t>
      </w:r>
    </w:p>
    <w:p w14:paraId="17891E2D" w14:textId="77777777" w:rsidR="007356D6" w:rsidRDefault="00D7602D">
      <w:pPr>
        <w:rPr>
          <w:color w:val="FF0000"/>
        </w:rPr>
      </w:pPr>
      <w:r>
        <w:rPr>
          <w:color w:val="FF0000"/>
        </w:rPr>
        <w:lastRenderedPageBreak/>
        <w:t>technologies. If we are to make good on our promise to leave no one behind,</w:t>
      </w:r>
    </w:p>
    <w:p w14:paraId="02576610" w14:textId="77777777" w:rsidR="007356D6" w:rsidRDefault="00D7602D">
      <w:pPr>
        <w:rPr>
          <w:color w:val="FF0000"/>
        </w:rPr>
      </w:pPr>
      <w:r>
        <w:rPr>
          <w:color w:val="FF0000"/>
        </w:rPr>
        <w:t>sharing science, technology and innovation is essential. Innovations and</w:t>
      </w:r>
    </w:p>
    <w:p w14:paraId="6DF332C0" w14:textId="77777777" w:rsidR="007356D6" w:rsidRDefault="00D7602D">
      <w:pPr>
        <w:rPr>
          <w:color w:val="FF0000"/>
        </w:rPr>
      </w:pPr>
      <w:r>
        <w:rPr>
          <w:color w:val="FF0000"/>
        </w:rPr>
        <w:t>scientific breakthrough that can make our planet more sustainable and our countries more prosperous and resilient should be affordable and accessible to</w:t>
      </w:r>
    </w:p>
    <w:p w14:paraId="25EEDFC6" w14:textId="77777777" w:rsidR="007356D6" w:rsidRDefault="00D7602D">
      <w:pPr>
        <w:rPr>
          <w:color w:val="FF0000"/>
        </w:rPr>
      </w:pPr>
      <w:r>
        <w:rPr>
          <w:color w:val="FF0000"/>
        </w:rPr>
        <w:t>all.</w:t>
      </w:r>
    </w:p>
    <w:p w14:paraId="580B6840" w14:textId="77777777" w:rsidR="007356D6" w:rsidRDefault="007356D6">
      <w:pPr>
        <w:rPr>
          <w:color w:val="FF0000"/>
        </w:rPr>
      </w:pPr>
    </w:p>
    <w:p w14:paraId="48AB375E" w14:textId="77777777" w:rsidR="007356D6" w:rsidRDefault="00D7602D">
      <w:pPr>
        <w:rPr>
          <w:color w:val="FF0000"/>
        </w:rPr>
      </w:pPr>
      <w:r>
        <w:rPr>
          <w:color w:val="FF0000"/>
        </w:rPr>
        <w:t>….</w:t>
      </w:r>
    </w:p>
    <w:p w14:paraId="6B77DC00" w14:textId="77777777" w:rsidR="007356D6" w:rsidRDefault="00D7602D">
      <w:pPr>
        <w:rPr>
          <w:color w:val="FF0000"/>
        </w:rPr>
      </w:pPr>
      <w:r>
        <w:rPr>
          <w:color w:val="FF0000"/>
        </w:rPr>
        <w:t>54.</w:t>
      </w:r>
    </w:p>
    <w:p w14:paraId="703FD772" w14:textId="77777777" w:rsidR="007356D6" w:rsidRDefault="00D7602D">
      <w:pPr>
        <w:rPr>
          <w:color w:val="FF0000"/>
        </w:rPr>
      </w:pPr>
      <w:r>
        <w:rPr>
          <w:color w:val="FF0000"/>
        </w:rPr>
        <w:t>(c) Ensure that t</w:t>
      </w:r>
      <w:r>
        <w:rPr>
          <w:color w:val="FF0000"/>
        </w:rPr>
        <w:t>hose in vulnerable situations benefit from and fully and</w:t>
      </w:r>
    </w:p>
    <w:p w14:paraId="5C391C89" w14:textId="77777777" w:rsidR="007356D6" w:rsidRDefault="00D7602D">
      <w:pPr>
        <w:rPr>
          <w:color w:val="FF0000"/>
        </w:rPr>
      </w:pPr>
      <w:r>
        <w:rPr>
          <w:color w:val="FF0000"/>
        </w:rPr>
        <w:t>meaningfully participate in the development and application of science,</w:t>
      </w:r>
    </w:p>
    <w:p w14:paraId="160891CF" w14:textId="77777777" w:rsidR="007356D6" w:rsidRDefault="00D7602D">
      <w:pPr>
        <w:rPr>
          <w:color w:val="FF0000"/>
        </w:rPr>
      </w:pPr>
      <w:r>
        <w:rPr>
          <w:color w:val="FF0000"/>
        </w:rPr>
        <w:t>technology and innovation;</w:t>
      </w:r>
    </w:p>
    <w:p w14:paraId="61CE641A" w14:textId="77777777" w:rsidR="007356D6" w:rsidRDefault="007356D6">
      <w:pPr>
        <w:rPr>
          <w:color w:val="FF0000"/>
        </w:rPr>
      </w:pPr>
    </w:p>
    <w:p w14:paraId="45E3123C" w14:textId="77777777" w:rsidR="007356D6" w:rsidRDefault="00D7602D">
      <w:pPr>
        <w:rPr>
          <w:color w:val="FF0000"/>
        </w:rPr>
      </w:pPr>
      <w:r>
        <w:rPr>
          <w:color w:val="FF0000"/>
        </w:rPr>
        <w:t>55.</w:t>
      </w:r>
    </w:p>
    <w:p w14:paraId="333F6B01" w14:textId="77777777" w:rsidR="007356D6" w:rsidRDefault="00D7602D">
      <w:pPr>
        <w:rPr>
          <w:color w:val="FF0000"/>
        </w:rPr>
      </w:pPr>
      <w:r>
        <w:rPr>
          <w:color w:val="FF0000"/>
        </w:rPr>
        <w:t>(a) Address barriers to full, equal and meaningful access to and</w:t>
      </w:r>
    </w:p>
    <w:p w14:paraId="22F8CBB9" w14:textId="77777777" w:rsidR="007356D6" w:rsidRDefault="00D7602D">
      <w:pPr>
        <w:rPr>
          <w:color w:val="FF0000"/>
        </w:rPr>
      </w:pPr>
      <w:r>
        <w:rPr>
          <w:color w:val="FF0000"/>
        </w:rPr>
        <w:t>participation and leadership i</w:t>
      </w:r>
      <w:r>
        <w:rPr>
          <w:color w:val="FF0000"/>
        </w:rPr>
        <w:t>n science, technology and innovation for all</w:t>
      </w:r>
    </w:p>
    <w:p w14:paraId="3DAC4130" w14:textId="77777777" w:rsidR="007356D6" w:rsidRDefault="00D7602D">
      <w:pPr>
        <w:rPr>
          <w:color w:val="FF0000"/>
        </w:rPr>
      </w:pPr>
      <w:r>
        <w:rPr>
          <w:color w:val="FF0000"/>
        </w:rPr>
        <w:t>women and girls, including through improving education, employment and</w:t>
      </w:r>
    </w:p>
    <w:p w14:paraId="144DA522" w14:textId="77777777" w:rsidR="007356D6" w:rsidRDefault="00D7602D">
      <w:pPr>
        <w:rPr>
          <w:color w:val="FF0000"/>
        </w:rPr>
      </w:pPr>
      <w:r>
        <w:rPr>
          <w:color w:val="FF0000"/>
        </w:rPr>
        <w:t>research opportunities for women and girls in areas such as science,</w:t>
      </w:r>
    </w:p>
    <w:p w14:paraId="01C4C2E7" w14:textId="77777777" w:rsidR="007356D6" w:rsidRDefault="00D7602D">
      <w:pPr>
        <w:rPr>
          <w:color w:val="FF0000"/>
        </w:rPr>
      </w:pPr>
      <w:r>
        <w:rPr>
          <w:color w:val="FF0000"/>
        </w:rPr>
        <w:t>technology, innovation, mathematics and engineering;</w:t>
      </w:r>
    </w:p>
    <w:p w14:paraId="7475B836" w14:textId="77777777" w:rsidR="007356D6" w:rsidRDefault="007356D6">
      <w:pPr>
        <w:rPr>
          <w:color w:val="FF0000"/>
        </w:rPr>
      </w:pPr>
    </w:p>
    <w:p w14:paraId="6328D479" w14:textId="77777777" w:rsidR="007356D6" w:rsidRDefault="00D7602D">
      <w:pPr>
        <w:rPr>
          <w:color w:val="FF0000"/>
        </w:rPr>
      </w:pPr>
      <w:r>
        <w:rPr>
          <w:color w:val="FF0000"/>
        </w:rPr>
        <w:t>From the Global Digital Compact</w:t>
      </w:r>
    </w:p>
    <w:p w14:paraId="306C033E" w14:textId="77777777" w:rsidR="007356D6" w:rsidRDefault="00D7602D">
      <w:pPr>
        <w:rPr>
          <w:color w:val="FF0000"/>
        </w:rPr>
      </w:pPr>
      <w:r>
        <w:rPr>
          <w:color w:val="FF0000"/>
        </w:rPr>
        <w:t>Approved on September 22, 2024</w:t>
      </w:r>
    </w:p>
    <w:p w14:paraId="3AC540D5" w14:textId="77777777" w:rsidR="007356D6" w:rsidRDefault="007356D6">
      <w:pPr>
        <w:rPr>
          <w:color w:val="FF0000"/>
        </w:rPr>
      </w:pPr>
    </w:p>
    <w:p w14:paraId="3C550704" w14:textId="77777777" w:rsidR="007356D6" w:rsidRDefault="00D7602D">
      <w:pPr>
        <w:rPr>
          <w:color w:val="FF0000"/>
        </w:rPr>
      </w:pPr>
      <w:r>
        <w:rPr>
          <w:color w:val="FF0000"/>
        </w:rPr>
        <w:t>Commitments and actions</w:t>
      </w:r>
    </w:p>
    <w:p w14:paraId="24FB03EA" w14:textId="77777777" w:rsidR="007356D6" w:rsidRDefault="00D7602D">
      <w:pPr>
        <w:rPr>
          <w:color w:val="FF0000"/>
        </w:rPr>
      </w:pPr>
      <w:r>
        <w:rPr>
          <w:color w:val="FF0000"/>
        </w:rPr>
        <w:t>9. We commit to pursue meaningful and measurable actions to achieve our</w:t>
      </w:r>
    </w:p>
    <w:p w14:paraId="4CD1EB38" w14:textId="77777777" w:rsidR="007356D6" w:rsidRDefault="00D7602D">
      <w:pPr>
        <w:rPr>
          <w:color w:val="FF0000"/>
        </w:rPr>
      </w:pPr>
      <w:r>
        <w:rPr>
          <w:color w:val="FF0000"/>
        </w:rPr>
        <w:t>objectives.</w:t>
      </w:r>
    </w:p>
    <w:p w14:paraId="2C399A90" w14:textId="77777777" w:rsidR="007356D6" w:rsidRDefault="00D7602D">
      <w:pPr>
        <w:rPr>
          <w:color w:val="FF0000"/>
        </w:rPr>
      </w:pPr>
      <w:r>
        <w:rPr>
          <w:color w:val="FF0000"/>
        </w:rPr>
        <w:t>Objective 1. Close all digital divides and accelerate progress across the</w:t>
      </w:r>
    </w:p>
    <w:p w14:paraId="38EB4A46" w14:textId="77777777" w:rsidR="007356D6" w:rsidRDefault="00D7602D">
      <w:pPr>
        <w:rPr>
          <w:color w:val="FF0000"/>
        </w:rPr>
      </w:pPr>
      <w:r>
        <w:rPr>
          <w:color w:val="FF0000"/>
        </w:rPr>
        <w:t>Sustainabl</w:t>
      </w:r>
      <w:r>
        <w:rPr>
          <w:color w:val="FF0000"/>
        </w:rPr>
        <w:t>e Development Goals</w:t>
      </w:r>
    </w:p>
    <w:p w14:paraId="358D2F9B" w14:textId="77777777" w:rsidR="007356D6" w:rsidRDefault="00D7602D">
      <w:pPr>
        <w:rPr>
          <w:color w:val="FF0000"/>
        </w:rPr>
      </w:pPr>
      <w:r>
        <w:rPr>
          <w:color w:val="FF0000"/>
        </w:rPr>
        <w:t>Connectivity</w:t>
      </w:r>
    </w:p>
    <w:p w14:paraId="04680E6D" w14:textId="77777777" w:rsidR="007356D6" w:rsidRDefault="00D7602D">
      <w:pPr>
        <w:rPr>
          <w:color w:val="FF0000"/>
        </w:rPr>
      </w:pPr>
      <w:r>
        <w:rPr>
          <w:color w:val="FF0000"/>
        </w:rPr>
        <w:t>10. We acknowledge the pivotal role of universal and meaningful</w:t>
      </w:r>
    </w:p>
    <w:p w14:paraId="26FE1928" w14:textId="77777777" w:rsidR="007356D6" w:rsidRDefault="00D7602D">
      <w:pPr>
        <w:rPr>
          <w:color w:val="FF0000"/>
        </w:rPr>
      </w:pPr>
      <w:r>
        <w:rPr>
          <w:color w:val="FF0000"/>
        </w:rPr>
        <w:t>connectivity and affordable access in unlocking the full potential of digital and</w:t>
      </w:r>
    </w:p>
    <w:p w14:paraId="7D17D7CA" w14:textId="77777777" w:rsidR="007356D6" w:rsidRDefault="00D7602D">
      <w:pPr>
        <w:rPr>
          <w:color w:val="FF0000"/>
        </w:rPr>
      </w:pPr>
      <w:r>
        <w:rPr>
          <w:color w:val="FF0000"/>
        </w:rPr>
        <w:t>emerging technologies. We commit to connect all persons to the Internet. We</w:t>
      </w:r>
    </w:p>
    <w:p w14:paraId="16BE4C6F" w14:textId="77777777" w:rsidR="007356D6" w:rsidRDefault="00D7602D">
      <w:pPr>
        <w:rPr>
          <w:color w:val="FF0000"/>
        </w:rPr>
      </w:pPr>
      <w:r>
        <w:rPr>
          <w:color w:val="FF0000"/>
        </w:rPr>
        <w:t>r</w:t>
      </w:r>
      <w:r>
        <w:rPr>
          <w:color w:val="FF0000"/>
        </w:rPr>
        <w:t>ecognize that this will require strong partnerships and increased financial</w:t>
      </w:r>
    </w:p>
    <w:p w14:paraId="1D86EF1B" w14:textId="77777777" w:rsidR="007356D6" w:rsidRDefault="00D7602D">
      <w:pPr>
        <w:rPr>
          <w:color w:val="FF0000"/>
        </w:rPr>
      </w:pPr>
      <w:r>
        <w:rPr>
          <w:color w:val="FF0000"/>
        </w:rPr>
        <w:t>investments in developing countries from Governments and other</w:t>
      </w:r>
    </w:p>
    <w:p w14:paraId="5C8F9BCC" w14:textId="77777777" w:rsidR="007356D6" w:rsidRDefault="00D7602D">
      <w:pPr>
        <w:rPr>
          <w:color w:val="FF0000"/>
        </w:rPr>
      </w:pPr>
      <w:r>
        <w:rPr>
          <w:color w:val="FF0000"/>
        </w:rPr>
        <w:t>stakeholders, in particular the private sector. We affirm the important role of</w:t>
      </w:r>
    </w:p>
    <w:p w14:paraId="0C58DBC5" w14:textId="77777777" w:rsidR="007356D6" w:rsidRDefault="00D7602D">
      <w:pPr>
        <w:rPr>
          <w:color w:val="FF0000"/>
        </w:rPr>
      </w:pPr>
      <w:r>
        <w:rPr>
          <w:color w:val="FF0000"/>
        </w:rPr>
        <w:t>the International Telecommunication U</w:t>
      </w:r>
      <w:r>
        <w:rPr>
          <w:color w:val="FF0000"/>
        </w:rPr>
        <w:t>nion in advancing universal and</w:t>
      </w:r>
    </w:p>
    <w:p w14:paraId="47F3D54E" w14:textId="77777777" w:rsidR="007356D6" w:rsidRDefault="00D7602D">
      <w:pPr>
        <w:rPr>
          <w:color w:val="FF0000"/>
        </w:rPr>
      </w:pPr>
      <w:r>
        <w:rPr>
          <w:color w:val="FF0000"/>
        </w:rPr>
        <w:t>meaningful connectivity and invite it to further continue its efforts. We</w:t>
      </w:r>
    </w:p>
    <w:p w14:paraId="704AE8C6" w14:textId="77777777" w:rsidR="007356D6" w:rsidRDefault="00D7602D">
      <w:pPr>
        <w:rPr>
          <w:color w:val="FF0000"/>
        </w:rPr>
      </w:pPr>
      <w:r>
        <w:rPr>
          <w:color w:val="FF0000"/>
        </w:rPr>
        <w:t>recognize that innovative solutions can help deliver high -speed connectivity</w:t>
      </w:r>
    </w:p>
    <w:p w14:paraId="04D0F329" w14:textId="77777777" w:rsidR="007356D6" w:rsidRDefault="00D7602D">
      <w:pPr>
        <w:rPr>
          <w:color w:val="FF0000"/>
        </w:rPr>
      </w:pPr>
      <w:r>
        <w:rPr>
          <w:color w:val="FF0000"/>
        </w:rPr>
        <w:t>to, inter alia, underserved, remote and rural areas.</w:t>
      </w:r>
    </w:p>
    <w:p w14:paraId="5F0D2FDA" w14:textId="77777777" w:rsidR="007356D6" w:rsidRDefault="007356D6">
      <w:pPr>
        <w:rPr>
          <w:color w:val="FF0000"/>
        </w:rPr>
      </w:pPr>
    </w:p>
    <w:p w14:paraId="17F1B4BC" w14:textId="77777777" w:rsidR="007356D6" w:rsidRDefault="00D7602D">
      <w:pPr>
        <w:rPr>
          <w:color w:val="FF0000"/>
        </w:rPr>
      </w:pPr>
      <w:r>
        <w:rPr>
          <w:color w:val="FF0000"/>
        </w:rPr>
        <w:t xml:space="preserve">…….. </w:t>
      </w:r>
    </w:p>
    <w:p w14:paraId="2EAF5169" w14:textId="77777777" w:rsidR="007356D6" w:rsidRDefault="00D7602D">
      <w:pPr>
        <w:rPr>
          <w:color w:val="FF0000"/>
        </w:rPr>
      </w:pPr>
      <w:r>
        <w:rPr>
          <w:color w:val="FF0000"/>
        </w:rPr>
        <w:t>11. We commi</w:t>
      </w:r>
      <w:r>
        <w:rPr>
          <w:color w:val="FF0000"/>
        </w:rPr>
        <w:t>t, by 2030, to:</w:t>
      </w:r>
    </w:p>
    <w:p w14:paraId="16D2FD11" w14:textId="77777777" w:rsidR="007356D6" w:rsidRDefault="00D7602D">
      <w:pPr>
        <w:rPr>
          <w:color w:val="FF0000"/>
        </w:rPr>
      </w:pPr>
      <w:r>
        <w:rPr>
          <w:color w:val="FF0000"/>
        </w:rPr>
        <w:t>(a) Develop and strengthen targets, indicators and metrics for universal</w:t>
      </w:r>
    </w:p>
    <w:p w14:paraId="37433970" w14:textId="77777777" w:rsidR="007356D6" w:rsidRDefault="00D7602D">
      <w:pPr>
        <w:rPr>
          <w:color w:val="FF0000"/>
        </w:rPr>
      </w:pPr>
      <w:r>
        <w:rPr>
          <w:color w:val="FF0000"/>
        </w:rPr>
        <w:t>meaningful and affordable connectivity, building on existing work, and</w:t>
      </w:r>
    </w:p>
    <w:p w14:paraId="28FF435F" w14:textId="77777777" w:rsidR="007356D6" w:rsidRDefault="00D7602D">
      <w:pPr>
        <w:rPr>
          <w:color w:val="FF0000"/>
        </w:rPr>
      </w:pPr>
      <w:r>
        <w:rPr>
          <w:color w:val="FF0000"/>
        </w:rPr>
        <w:t>integrate these into international, regional and national development</w:t>
      </w:r>
    </w:p>
    <w:p w14:paraId="63C86A80" w14:textId="77777777" w:rsidR="007356D6" w:rsidRDefault="00D7602D">
      <w:pPr>
        <w:rPr>
          <w:color w:val="FF0000"/>
        </w:rPr>
      </w:pPr>
      <w:r>
        <w:rPr>
          <w:color w:val="FF0000"/>
        </w:rPr>
        <w:t>strategies (SDG 9);</w:t>
      </w:r>
    </w:p>
    <w:p w14:paraId="1AAAAC49" w14:textId="77777777" w:rsidR="007356D6" w:rsidRDefault="007356D6">
      <w:pPr>
        <w:rPr>
          <w:color w:val="FF0000"/>
        </w:rPr>
      </w:pPr>
    </w:p>
    <w:p w14:paraId="20A022B2" w14:textId="77777777" w:rsidR="007356D6" w:rsidRDefault="00D7602D">
      <w:pPr>
        <w:rPr>
          <w:color w:val="FF0000"/>
        </w:rPr>
      </w:pPr>
      <w:r>
        <w:rPr>
          <w:color w:val="FF0000"/>
        </w:rPr>
        <w:t>(b) …</w:t>
      </w:r>
      <w:r>
        <w:rPr>
          <w:color w:val="FF0000"/>
        </w:rPr>
        <w:t xml:space="preserve"> We will aim for entry -level broadband subscription costs that are accessible to the widest section of the population (SDGs 1 and 9);</w:t>
      </w:r>
    </w:p>
    <w:p w14:paraId="3A5FC6A7" w14:textId="77777777" w:rsidR="007356D6" w:rsidRDefault="00D7602D">
      <w:pPr>
        <w:rPr>
          <w:color w:val="FF0000"/>
        </w:rPr>
      </w:pPr>
      <w:r>
        <w:rPr>
          <w:color w:val="FF0000"/>
        </w:rPr>
        <w:t>(c) Invest in and deploy resilient digital infrastructure, including</w:t>
      </w:r>
    </w:p>
    <w:p w14:paraId="0754D328" w14:textId="77777777" w:rsidR="007356D6" w:rsidRDefault="00D7602D">
      <w:pPr>
        <w:rPr>
          <w:color w:val="FF0000"/>
        </w:rPr>
      </w:pPr>
      <w:r>
        <w:rPr>
          <w:color w:val="FF0000"/>
        </w:rPr>
        <w:lastRenderedPageBreak/>
        <w:t>satellites and local network initiatives, that provide safe and secure network</w:t>
      </w:r>
    </w:p>
    <w:p w14:paraId="5C355AE1" w14:textId="77777777" w:rsidR="007356D6" w:rsidRDefault="00D7602D">
      <w:pPr>
        <w:rPr>
          <w:color w:val="FF0000"/>
        </w:rPr>
      </w:pPr>
      <w:r>
        <w:rPr>
          <w:color w:val="FF0000"/>
        </w:rPr>
        <w:t>coverage to all areas, including rural, remote and “hard -to-reach” areas, and</w:t>
      </w:r>
    </w:p>
    <w:p w14:paraId="05EC502B" w14:textId="77777777" w:rsidR="007356D6" w:rsidRDefault="00D7602D">
      <w:pPr>
        <w:rPr>
          <w:color w:val="FF0000"/>
        </w:rPr>
      </w:pPr>
      <w:r>
        <w:rPr>
          <w:color w:val="FF0000"/>
        </w:rPr>
        <w:t>promote equitable access to satellite orbits, taking into account the needs of</w:t>
      </w:r>
    </w:p>
    <w:p w14:paraId="55CC40B6" w14:textId="77777777" w:rsidR="007356D6" w:rsidRDefault="00D7602D">
      <w:pPr>
        <w:rPr>
          <w:color w:val="FF0000"/>
        </w:rPr>
      </w:pPr>
      <w:r>
        <w:rPr>
          <w:color w:val="FF0000"/>
        </w:rPr>
        <w:t>developing countrie</w:t>
      </w:r>
      <w:r>
        <w:rPr>
          <w:color w:val="FF0000"/>
        </w:rPr>
        <w:t>s. We will aim for universal access at affordable rates and</w:t>
      </w:r>
    </w:p>
    <w:p w14:paraId="17DB5DB6" w14:textId="77777777" w:rsidR="007356D6" w:rsidRDefault="00D7602D">
      <w:pPr>
        <w:rPr>
          <w:color w:val="FF0000"/>
        </w:rPr>
      </w:pPr>
      <w:r>
        <w:rPr>
          <w:color w:val="FF0000"/>
        </w:rPr>
        <w:t>at sufficient speeds as well as reliability to enable meaningful use of the</w:t>
      </w:r>
    </w:p>
    <w:p w14:paraId="55A6CF8E" w14:textId="77777777" w:rsidR="007356D6" w:rsidRDefault="00D7602D">
      <w:pPr>
        <w:rPr>
          <w:color w:val="FF0000"/>
        </w:rPr>
      </w:pPr>
      <w:r>
        <w:rPr>
          <w:color w:val="FF0000"/>
        </w:rPr>
        <w:t>Internet (SDGs 9 and 11);</w:t>
      </w:r>
    </w:p>
    <w:p w14:paraId="7B755C84" w14:textId="77777777" w:rsidR="007356D6" w:rsidRDefault="007356D6">
      <w:pPr>
        <w:rPr>
          <w:color w:val="FF0000"/>
        </w:rPr>
      </w:pPr>
    </w:p>
    <w:p w14:paraId="606B1D4D" w14:textId="77777777" w:rsidR="007356D6" w:rsidRDefault="00D7602D">
      <w:pPr>
        <w:rPr>
          <w:color w:val="FF0000"/>
        </w:rPr>
      </w:pPr>
      <w:r>
        <w:rPr>
          <w:color w:val="FF0000"/>
        </w:rPr>
        <w:t xml:space="preserve">…. </w:t>
      </w:r>
    </w:p>
    <w:p w14:paraId="084FFBCD" w14:textId="77777777" w:rsidR="007356D6" w:rsidRDefault="00D7602D">
      <w:pPr>
        <w:rPr>
          <w:color w:val="FF0000"/>
        </w:rPr>
      </w:pPr>
      <w:r>
        <w:rPr>
          <w:color w:val="FF0000"/>
        </w:rPr>
        <w:t>Digital literacy, skills and capacities</w:t>
      </w:r>
    </w:p>
    <w:p w14:paraId="7F7B9F5E" w14:textId="77777777" w:rsidR="007356D6" w:rsidRDefault="00D7602D">
      <w:pPr>
        <w:rPr>
          <w:color w:val="FF0000"/>
        </w:rPr>
      </w:pPr>
      <w:r>
        <w:rPr>
          <w:color w:val="FF0000"/>
        </w:rPr>
        <w:t>12. To fully harness the benefits of digital connectivity, we must ensure that</w:t>
      </w:r>
    </w:p>
    <w:p w14:paraId="449DC652" w14:textId="77777777" w:rsidR="007356D6" w:rsidRDefault="00D7602D">
      <w:pPr>
        <w:rPr>
          <w:color w:val="FF0000"/>
        </w:rPr>
      </w:pPr>
      <w:r>
        <w:rPr>
          <w:color w:val="FF0000"/>
        </w:rPr>
        <w:t>people can meaningfully and securely use the Internet and safely navigate the</w:t>
      </w:r>
    </w:p>
    <w:p w14:paraId="73CE044A" w14:textId="77777777" w:rsidR="007356D6" w:rsidRDefault="00D7602D">
      <w:pPr>
        <w:rPr>
          <w:color w:val="FF0000"/>
        </w:rPr>
      </w:pPr>
      <w:r>
        <w:rPr>
          <w:color w:val="FF0000"/>
        </w:rPr>
        <w:t>digital space. We recognize the importance of digital skills and lifelong access</w:t>
      </w:r>
    </w:p>
    <w:p w14:paraId="4187762E" w14:textId="77777777" w:rsidR="007356D6" w:rsidRDefault="00D7602D">
      <w:pPr>
        <w:rPr>
          <w:color w:val="FF0000"/>
        </w:rPr>
      </w:pPr>
      <w:r>
        <w:rPr>
          <w:color w:val="FF0000"/>
        </w:rPr>
        <w:t>to digital learnin</w:t>
      </w:r>
      <w:r>
        <w:rPr>
          <w:color w:val="FF0000"/>
        </w:rPr>
        <w:t>g opportunities, taking into account the specific social,</w:t>
      </w:r>
    </w:p>
    <w:p w14:paraId="04CDA0C0" w14:textId="77777777" w:rsidR="007356D6" w:rsidRDefault="00D7602D">
      <w:pPr>
        <w:rPr>
          <w:color w:val="FF0000"/>
        </w:rPr>
      </w:pPr>
      <w:r>
        <w:rPr>
          <w:color w:val="FF0000"/>
        </w:rPr>
        <w:t>cultural and linguistic needs of each society and persons of all ages and</w:t>
      </w:r>
    </w:p>
    <w:p w14:paraId="5F9C97A7" w14:textId="77777777" w:rsidR="007356D6" w:rsidRDefault="00D7602D">
      <w:pPr>
        <w:rPr>
          <w:color w:val="FF0000"/>
        </w:rPr>
      </w:pPr>
      <w:r>
        <w:rPr>
          <w:color w:val="FF0000"/>
        </w:rPr>
        <w:t>backgrounds. We recognize the need to scale up international cooperation</w:t>
      </w:r>
    </w:p>
    <w:p w14:paraId="1572BA76" w14:textId="77777777" w:rsidR="007356D6" w:rsidRDefault="00D7602D">
      <w:pPr>
        <w:rPr>
          <w:color w:val="FF0000"/>
        </w:rPr>
      </w:pPr>
      <w:r>
        <w:rPr>
          <w:color w:val="FF0000"/>
        </w:rPr>
        <w:t>and financing for digital capacity development in d</w:t>
      </w:r>
      <w:r>
        <w:rPr>
          <w:color w:val="FF0000"/>
        </w:rPr>
        <w:t>eveloping countries and to</w:t>
      </w:r>
    </w:p>
    <w:p w14:paraId="6D67FDB5" w14:textId="77777777" w:rsidR="007356D6" w:rsidRDefault="00D7602D">
      <w:pPr>
        <w:rPr>
          <w:color w:val="FF0000"/>
        </w:rPr>
      </w:pPr>
      <w:r>
        <w:rPr>
          <w:color w:val="FF0000"/>
        </w:rPr>
        <w:t>support the development of local content and content relevant to local</w:t>
      </w:r>
    </w:p>
    <w:p w14:paraId="497CF57A" w14:textId="77777777" w:rsidR="007356D6" w:rsidRDefault="00D7602D">
      <w:pPr>
        <w:rPr>
          <w:color w:val="FF0000"/>
        </w:rPr>
      </w:pPr>
      <w:r>
        <w:rPr>
          <w:color w:val="FF0000"/>
        </w:rPr>
        <w:t>realities online and retain talent.</w:t>
      </w:r>
    </w:p>
    <w:p w14:paraId="59E21260" w14:textId="77777777" w:rsidR="007356D6" w:rsidRDefault="007356D6">
      <w:pPr>
        <w:rPr>
          <w:color w:val="FF0000"/>
        </w:rPr>
      </w:pPr>
    </w:p>
    <w:p w14:paraId="50E7CA89" w14:textId="77777777" w:rsidR="007356D6" w:rsidRDefault="00D7602D">
      <w:pPr>
        <w:rPr>
          <w:color w:val="FF0000"/>
        </w:rPr>
      </w:pPr>
      <w:r>
        <w:rPr>
          <w:color w:val="FF0000"/>
        </w:rPr>
        <w:t>….</w:t>
      </w:r>
    </w:p>
    <w:p w14:paraId="6751C58E" w14:textId="77777777" w:rsidR="007356D6" w:rsidRDefault="00D7602D">
      <w:pPr>
        <w:rPr>
          <w:color w:val="FF0000"/>
        </w:rPr>
      </w:pPr>
      <w:r>
        <w:rPr>
          <w:color w:val="FF0000"/>
        </w:rPr>
        <w:t>Objective 2. Expand inclusion in and benefits from the digital economy for</w:t>
      </w:r>
    </w:p>
    <w:p w14:paraId="4714C5FB" w14:textId="77777777" w:rsidR="007356D6" w:rsidRDefault="00D7602D">
      <w:pPr>
        <w:rPr>
          <w:color w:val="FF0000"/>
        </w:rPr>
      </w:pPr>
      <w:r>
        <w:rPr>
          <w:color w:val="FF0000"/>
        </w:rPr>
        <w:t>all</w:t>
      </w:r>
    </w:p>
    <w:p w14:paraId="02FC0F85" w14:textId="77777777" w:rsidR="007356D6" w:rsidRDefault="00D7602D">
      <w:pPr>
        <w:rPr>
          <w:color w:val="FF0000"/>
        </w:rPr>
      </w:pPr>
      <w:r>
        <w:rPr>
          <w:color w:val="FF0000"/>
        </w:rPr>
        <w:t>18. We recognize that equitable and aff</w:t>
      </w:r>
      <w:r>
        <w:rPr>
          <w:color w:val="FF0000"/>
        </w:rPr>
        <w:t>ordable access to digital</w:t>
      </w:r>
    </w:p>
    <w:p w14:paraId="1AEC12EC" w14:textId="77777777" w:rsidR="007356D6" w:rsidRDefault="00D7602D">
      <w:pPr>
        <w:rPr>
          <w:color w:val="FF0000"/>
        </w:rPr>
      </w:pPr>
      <w:r>
        <w:rPr>
          <w:color w:val="FF0000"/>
        </w:rPr>
        <w:t>technologies can unlock the potential of the digital economy for every society.</w:t>
      </w:r>
    </w:p>
    <w:p w14:paraId="6D9EA4A7" w14:textId="77777777" w:rsidR="007356D6" w:rsidRDefault="00D7602D">
      <w:pPr>
        <w:rPr>
          <w:color w:val="FF0000"/>
        </w:rPr>
      </w:pPr>
      <w:r>
        <w:rPr>
          <w:color w:val="FF0000"/>
        </w:rPr>
        <w:t>We recognize digital access to encompass opportunities for the acquisition</w:t>
      </w:r>
    </w:p>
    <w:p w14:paraId="7A1F7EFE" w14:textId="77777777" w:rsidR="007356D6" w:rsidRDefault="00D7602D">
      <w:pPr>
        <w:rPr>
          <w:color w:val="FF0000"/>
        </w:rPr>
      </w:pPr>
      <w:r>
        <w:rPr>
          <w:color w:val="FF0000"/>
        </w:rPr>
        <w:t>and development of knowledge, research and capacity as well as technology</w:t>
      </w:r>
    </w:p>
    <w:p w14:paraId="2557DEDF" w14:textId="77777777" w:rsidR="007356D6" w:rsidRDefault="00D7602D">
      <w:pPr>
        <w:rPr>
          <w:color w:val="FF0000"/>
        </w:rPr>
      </w:pPr>
      <w:r>
        <w:rPr>
          <w:color w:val="FF0000"/>
        </w:rPr>
        <w:t>t</w:t>
      </w:r>
      <w:r>
        <w:rPr>
          <w:color w:val="FF0000"/>
        </w:rPr>
        <w:t>ransfers on mutually agreed terms.</w:t>
      </w:r>
    </w:p>
    <w:p w14:paraId="370DC995" w14:textId="77777777" w:rsidR="007356D6" w:rsidRDefault="007356D6">
      <w:pPr>
        <w:rPr>
          <w:color w:val="FF0000"/>
        </w:rPr>
      </w:pPr>
    </w:p>
    <w:p w14:paraId="26FB384A" w14:textId="77777777" w:rsidR="007356D6" w:rsidRDefault="00D7602D">
      <w:pPr>
        <w:rPr>
          <w:color w:val="FF0000"/>
        </w:rPr>
      </w:pPr>
      <w:r>
        <w:rPr>
          <w:color w:val="FF0000"/>
        </w:rPr>
        <w:t xml:space="preserve">…….. </w:t>
      </w:r>
    </w:p>
    <w:p w14:paraId="0EAB3C96" w14:textId="77777777" w:rsidR="007356D6" w:rsidRDefault="00D7602D">
      <w:pPr>
        <w:rPr>
          <w:color w:val="FF0000"/>
        </w:rPr>
      </w:pPr>
      <w:r>
        <w:rPr>
          <w:color w:val="FF0000"/>
        </w:rPr>
        <w:t>21. We commit by, 2030, to:</w:t>
      </w:r>
    </w:p>
    <w:p w14:paraId="5A4007D4" w14:textId="77777777" w:rsidR="007356D6" w:rsidRDefault="00D7602D">
      <w:pPr>
        <w:rPr>
          <w:color w:val="FF0000"/>
        </w:rPr>
      </w:pPr>
      <w:r>
        <w:rPr>
          <w:color w:val="FF0000"/>
        </w:rPr>
        <w:t>….</w:t>
      </w:r>
    </w:p>
    <w:p w14:paraId="657938D7" w14:textId="77777777" w:rsidR="007356D6" w:rsidRDefault="00D7602D">
      <w:pPr>
        <w:rPr>
          <w:color w:val="FF0000"/>
        </w:rPr>
      </w:pPr>
      <w:r>
        <w:rPr>
          <w:color w:val="FF0000"/>
        </w:rPr>
        <w:t>(g) Encourage North-South, South-South and triangular cooperation,</w:t>
      </w:r>
    </w:p>
    <w:p w14:paraId="76866E5D" w14:textId="77777777" w:rsidR="007356D6" w:rsidRDefault="00D7602D">
      <w:pPr>
        <w:rPr>
          <w:color w:val="FF0000"/>
        </w:rPr>
      </w:pPr>
      <w:r>
        <w:rPr>
          <w:color w:val="FF0000"/>
        </w:rPr>
        <w:t>including among universities, research institutes and the private sector to</w:t>
      </w:r>
    </w:p>
    <w:p w14:paraId="1E44D2F5" w14:textId="77777777" w:rsidR="007356D6" w:rsidRDefault="00D7602D">
      <w:pPr>
        <w:rPr>
          <w:color w:val="FF0000"/>
        </w:rPr>
      </w:pPr>
      <w:r>
        <w:rPr>
          <w:color w:val="FF0000"/>
        </w:rPr>
        <w:t>accelerate digital knowledge development and access to research capacity</w:t>
      </w:r>
    </w:p>
    <w:p w14:paraId="515DCD81" w14:textId="77777777" w:rsidR="007356D6" w:rsidRDefault="00D7602D">
      <w:pPr>
        <w:rPr>
          <w:color w:val="FF0000"/>
        </w:rPr>
      </w:pPr>
      <w:r>
        <w:rPr>
          <w:color w:val="FF0000"/>
        </w:rPr>
        <w:t>(SDG 17);</w:t>
      </w:r>
    </w:p>
    <w:p w14:paraId="16A1B92A" w14:textId="77777777" w:rsidR="007356D6" w:rsidRDefault="007356D6"/>
    <w:p w14:paraId="554937EE" w14:textId="77777777" w:rsidR="007356D6" w:rsidRDefault="00D7602D">
      <w:pPr>
        <w:pStyle w:val="Heading3"/>
        <w:numPr>
          <w:ilvl w:val="1"/>
          <w:numId w:val="56"/>
        </w:numPr>
      </w:pPr>
      <w:bookmarkStart w:id="20" w:name="_kgfnxylpoh1y" w:colFirst="0" w:colLast="0"/>
      <w:bookmarkEnd w:id="20"/>
      <w:r>
        <w:rPr>
          <w:rFonts w:ascii="Times New Roman" w:eastAsia="Times New Roman" w:hAnsi="Times New Roman" w:cs="Times New Roman"/>
          <w:color w:val="38761D"/>
        </w:rPr>
        <w:t>Revisiting the 2023 PNMA Key Messages and Considerations</w:t>
      </w:r>
    </w:p>
    <w:p w14:paraId="74F37DB9"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2023 PNMA </w:t>
      </w:r>
      <w:hyperlink r:id="rId18">
        <w:r>
          <w:rPr>
            <w:rFonts w:ascii="Times New Roman" w:eastAsia="Times New Roman" w:hAnsi="Times New Roman" w:cs="Times New Roman"/>
            <w:color w:val="1155CC"/>
            <w:sz w:val="24"/>
            <w:szCs w:val="24"/>
            <w:u w:val="single"/>
          </w:rPr>
          <w:t>Plenary Session</w:t>
        </w:r>
      </w:hyperlink>
      <w:r>
        <w:rPr>
          <w:rFonts w:ascii="Times New Roman" w:eastAsia="Times New Roman" w:hAnsi="Times New Roman" w:cs="Times New Roman"/>
          <w:sz w:val="24"/>
          <w:szCs w:val="24"/>
        </w:rPr>
        <w:t>, which marks the end of the year’s deliberation cycle, many remarks were brought forward by the policy network on topics related to connectivity, digital inclusion, and capacity development. The</w:t>
      </w:r>
      <w:r>
        <w:rPr>
          <w:rFonts w:ascii="Times New Roman" w:eastAsia="Times New Roman" w:hAnsi="Times New Roman" w:cs="Times New Roman"/>
          <w:sz w:val="24"/>
          <w:szCs w:val="24"/>
        </w:rPr>
        <w:t xml:space="preserve">y reflect the community’s discussions, case analyses, and refer to issues for consideration and action via the IGF Secretariat. It was established that the PNMA community would base its follow-up activities taking into account those statements. </w:t>
      </w:r>
    </w:p>
    <w:p w14:paraId="3C2B215C"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issues</w:t>
      </w:r>
      <w:r>
        <w:rPr>
          <w:rFonts w:ascii="Times New Roman" w:eastAsia="Times New Roman" w:hAnsi="Times New Roman" w:cs="Times New Roman"/>
          <w:sz w:val="24"/>
          <w:szCs w:val="24"/>
        </w:rPr>
        <w:t xml:space="preserve"> below were revisited in 2024 and assessed as follows:</w:t>
      </w:r>
    </w:p>
    <w:p w14:paraId="5DABA9B3" w14:textId="77777777" w:rsidR="007356D6" w:rsidRDefault="00D7602D">
      <w:pPr>
        <w:pStyle w:val="Heading3"/>
        <w:numPr>
          <w:ilvl w:val="2"/>
          <w:numId w:val="56"/>
        </w:numPr>
      </w:pPr>
      <w:bookmarkStart w:id="21" w:name="_j7cumsrnwct9" w:colFirst="0" w:colLast="0"/>
      <w:bookmarkEnd w:id="21"/>
      <w:r>
        <w:rPr>
          <w:rFonts w:ascii="Times New Roman" w:eastAsia="Times New Roman" w:hAnsi="Times New Roman" w:cs="Times New Roman"/>
          <w:color w:val="38761D"/>
        </w:rPr>
        <w:lastRenderedPageBreak/>
        <w:t>On Connectivity</w:t>
      </w:r>
    </w:p>
    <w:p w14:paraId="1D9A2BB8" w14:textId="77777777" w:rsidR="007356D6" w:rsidRDefault="00D7602D">
      <w:r>
        <w:rPr>
          <w:rFonts w:ascii="Times New Roman" w:eastAsia="Times New Roman" w:hAnsi="Times New Roman" w:cs="Times New Roman"/>
          <w:highlight w:val="yellow"/>
        </w:rPr>
        <w:t>[to be added by the appropriate internal working group members]</w:t>
      </w:r>
    </w:p>
    <w:p w14:paraId="3E8BF6B4" w14:textId="77777777" w:rsidR="007356D6" w:rsidRDefault="00D7602D">
      <w:pPr>
        <w:pStyle w:val="Heading3"/>
        <w:numPr>
          <w:ilvl w:val="2"/>
          <w:numId w:val="56"/>
        </w:numPr>
      </w:pPr>
      <w:bookmarkStart w:id="22" w:name="_o3vk4vskhbrn" w:colFirst="0" w:colLast="0"/>
      <w:bookmarkEnd w:id="22"/>
      <w:r>
        <w:rPr>
          <w:rFonts w:ascii="Times New Roman" w:eastAsia="Times New Roman" w:hAnsi="Times New Roman" w:cs="Times New Roman"/>
          <w:color w:val="38761D"/>
        </w:rPr>
        <w:t>On Digital Inclusion</w:t>
      </w:r>
    </w:p>
    <w:p w14:paraId="1A842E76" w14:textId="77777777" w:rsidR="007356D6" w:rsidRDefault="00D7602D">
      <w:r>
        <w:rPr>
          <w:rFonts w:ascii="Times New Roman" w:eastAsia="Times New Roman" w:hAnsi="Times New Roman" w:cs="Times New Roman"/>
          <w:highlight w:val="yellow"/>
        </w:rPr>
        <w:t>[to be added by the appropriate internal working group members]</w:t>
      </w:r>
    </w:p>
    <w:p w14:paraId="5BF71AE4" w14:textId="77777777" w:rsidR="007356D6" w:rsidRDefault="00D7602D">
      <w:pPr>
        <w:pStyle w:val="Heading3"/>
        <w:numPr>
          <w:ilvl w:val="2"/>
          <w:numId w:val="56"/>
        </w:numPr>
      </w:pPr>
      <w:bookmarkStart w:id="23" w:name="_jzattgopg4qq" w:colFirst="0" w:colLast="0"/>
      <w:bookmarkEnd w:id="23"/>
      <w:r>
        <w:rPr>
          <w:rFonts w:ascii="Times New Roman" w:eastAsia="Times New Roman" w:hAnsi="Times New Roman" w:cs="Times New Roman"/>
          <w:color w:val="38761D"/>
        </w:rPr>
        <w:t xml:space="preserve">On </w:t>
      </w:r>
      <w:r>
        <w:rPr>
          <w:rFonts w:ascii="Times New Roman" w:eastAsia="Times New Roman" w:hAnsi="Times New Roman" w:cs="Times New Roman"/>
          <w:color w:val="38761D"/>
        </w:rPr>
        <w:t>Capacity Development</w:t>
      </w:r>
    </w:p>
    <w:p w14:paraId="31CF753F" w14:textId="77777777" w:rsidR="007356D6" w:rsidRDefault="00D7602D">
      <w:pPr>
        <w:rPr>
          <w:b/>
        </w:rPr>
      </w:pPr>
      <w:r>
        <w:rPr>
          <w:rFonts w:ascii="Times New Roman" w:eastAsia="Times New Roman" w:hAnsi="Times New Roman" w:cs="Times New Roman"/>
          <w:highlight w:val="yellow"/>
        </w:rPr>
        <w:t>[to be added by the appropriate internal working group members]</w:t>
      </w:r>
    </w:p>
    <w:p w14:paraId="7ED1B23F" w14:textId="77777777" w:rsidR="007356D6" w:rsidRDefault="007356D6">
      <w:pPr>
        <w:pStyle w:val="Heading3"/>
        <w:rPr>
          <w:rFonts w:ascii="Times New Roman" w:eastAsia="Times New Roman" w:hAnsi="Times New Roman" w:cs="Times New Roman"/>
          <w:color w:val="38761D"/>
        </w:rPr>
      </w:pPr>
      <w:bookmarkStart w:id="24" w:name="_f2p7g4lr1nau" w:colFirst="0" w:colLast="0"/>
      <w:bookmarkEnd w:id="24"/>
    </w:p>
    <w:p w14:paraId="4DB01C36" w14:textId="77777777" w:rsidR="007356D6" w:rsidRDefault="007356D6">
      <w:pPr>
        <w:pStyle w:val="Heading3"/>
        <w:rPr>
          <w:rFonts w:ascii="Times New Roman" w:eastAsia="Times New Roman" w:hAnsi="Times New Roman" w:cs="Times New Roman"/>
          <w:color w:val="38761D"/>
        </w:rPr>
      </w:pPr>
      <w:bookmarkStart w:id="25" w:name="_av2be1i65nfj" w:colFirst="0" w:colLast="0"/>
      <w:bookmarkEnd w:id="25"/>
    </w:p>
    <w:p w14:paraId="7837313C" w14:textId="77777777" w:rsidR="007356D6" w:rsidRDefault="00D7602D">
      <w:pPr>
        <w:pStyle w:val="Heading3"/>
        <w:rPr>
          <w:rFonts w:ascii="Times New Roman" w:eastAsia="Times New Roman" w:hAnsi="Times New Roman" w:cs="Times New Roman"/>
          <w:color w:val="38761D"/>
        </w:rPr>
      </w:pPr>
      <w:bookmarkStart w:id="26" w:name="_pg2kqeduo6zw" w:colFirst="0" w:colLast="0"/>
      <w:bookmarkEnd w:id="26"/>
      <w:r>
        <w:br w:type="page"/>
      </w:r>
    </w:p>
    <w:p w14:paraId="7868C108" w14:textId="77777777" w:rsidR="007356D6" w:rsidRDefault="00D7602D">
      <w:pPr>
        <w:pStyle w:val="Heading2"/>
        <w:numPr>
          <w:ilvl w:val="0"/>
          <w:numId w:val="56"/>
        </w:numPr>
        <w:rPr>
          <w:rFonts w:ascii="Times New Roman" w:eastAsia="Times New Roman" w:hAnsi="Times New Roman" w:cs="Times New Roman"/>
        </w:rPr>
      </w:pPr>
      <w:bookmarkStart w:id="27" w:name="_tl4ilusd9h76" w:colFirst="0" w:colLast="0"/>
      <w:bookmarkEnd w:id="27"/>
      <w:r>
        <w:rPr>
          <w:rFonts w:ascii="Times New Roman" w:eastAsia="Times New Roman" w:hAnsi="Times New Roman" w:cs="Times New Roman"/>
          <w:b/>
          <w:color w:val="38761D"/>
        </w:rPr>
        <w:lastRenderedPageBreak/>
        <w:t>2024 PNMA Focus Areas: An Incremental Work</w:t>
      </w:r>
    </w:p>
    <w:p w14:paraId="65C24205" w14:textId="77777777" w:rsidR="007356D6" w:rsidRDefault="00D7602D">
      <w:pPr>
        <w:pStyle w:val="Heading3"/>
        <w:jc w:val="both"/>
        <w:rPr>
          <w:rFonts w:ascii="Times New Roman" w:eastAsia="Times New Roman" w:hAnsi="Times New Roman" w:cs="Times New Roman"/>
          <w:color w:val="000000"/>
          <w:sz w:val="24"/>
          <w:szCs w:val="24"/>
        </w:rPr>
      </w:pPr>
      <w:bookmarkStart w:id="28" w:name="_m96p7vce2omy" w:colFirst="0" w:colLast="0"/>
      <w:bookmarkEnd w:id="28"/>
      <w:r>
        <w:rPr>
          <w:rFonts w:ascii="Times New Roman" w:eastAsia="Times New Roman" w:hAnsi="Times New Roman" w:cs="Times New Roman"/>
          <w:color w:val="000000"/>
          <w:sz w:val="24"/>
          <w:szCs w:val="24"/>
        </w:rPr>
        <w:t>The 2024 PNMA process cannot be understood without references to its previous years of operation, as showcased in the previous section of this re</w:t>
      </w:r>
      <w:r>
        <w:rPr>
          <w:rFonts w:ascii="Times New Roman" w:eastAsia="Times New Roman" w:hAnsi="Times New Roman" w:cs="Times New Roman"/>
          <w:color w:val="000000"/>
          <w:sz w:val="24"/>
          <w:szCs w:val="24"/>
        </w:rPr>
        <w:t>port. Alongside monthly discussions, the policy network duly operated in the search of new practices that can be replicated elsewhere from their original application. Efforts were equally concerned with understanding the development of previously known act</w:t>
      </w:r>
      <w:r>
        <w:rPr>
          <w:rFonts w:ascii="Times New Roman" w:eastAsia="Times New Roman" w:hAnsi="Times New Roman" w:cs="Times New Roman"/>
          <w:color w:val="000000"/>
          <w:sz w:val="24"/>
          <w:szCs w:val="24"/>
        </w:rPr>
        <w:t>ivities, verifying which successes and challenges they faced along the way.</w:t>
      </w:r>
    </w:p>
    <w:p w14:paraId="686BAC3B" w14:textId="77777777" w:rsidR="007356D6" w:rsidRDefault="007356D6"/>
    <w:p w14:paraId="05BB3B4A" w14:textId="77777777" w:rsidR="007356D6" w:rsidRDefault="00D7602D">
      <w:pPr>
        <w:pStyle w:val="Heading3"/>
        <w:numPr>
          <w:ilvl w:val="1"/>
          <w:numId w:val="56"/>
        </w:numPr>
      </w:pPr>
      <w:bookmarkStart w:id="29" w:name="_qpn69o9f4uju" w:colFirst="0" w:colLast="0"/>
      <w:bookmarkEnd w:id="29"/>
      <w:r>
        <w:rPr>
          <w:rFonts w:ascii="Times New Roman" w:eastAsia="Times New Roman" w:hAnsi="Times New Roman" w:cs="Times New Roman"/>
          <w:color w:val="38761D"/>
        </w:rPr>
        <w:t>Exploring Connectivity</w:t>
      </w:r>
    </w:p>
    <w:p w14:paraId="7ADE2FEA" w14:textId="77777777" w:rsidR="007356D6" w:rsidRDefault="00D7602D">
      <w:pPr>
        <w:spacing w:before="240" w:after="240"/>
        <w:jc w:val="both"/>
      </w:pPr>
      <w:r>
        <w:rPr>
          <w:rFonts w:ascii="Times New Roman" w:eastAsia="Times New Roman" w:hAnsi="Times New Roman" w:cs="Times New Roman"/>
          <w:sz w:val="24"/>
          <w:szCs w:val="24"/>
        </w:rPr>
        <w:t>The PNMA's goal around connectivity is to ensure that all people in the world have access to reliable, affordable, and secure internet. The PNMA works to pr</w:t>
      </w:r>
      <w:r>
        <w:rPr>
          <w:rFonts w:ascii="Times New Roman" w:eastAsia="Times New Roman" w:hAnsi="Times New Roman" w:cs="Times New Roman"/>
          <w:sz w:val="24"/>
          <w:szCs w:val="24"/>
        </w:rPr>
        <w:t>omote the development of  infrastructure and services, and to advocate for policies that help people connect to an internet that is useful and  empowering. The PNMA also works to ensure that all people in the world have access to the digital tools and reso</w:t>
      </w:r>
      <w:r>
        <w:rPr>
          <w:rFonts w:ascii="Times New Roman" w:eastAsia="Times New Roman" w:hAnsi="Times New Roman" w:cs="Times New Roman"/>
          <w:sz w:val="24"/>
          <w:szCs w:val="24"/>
        </w:rPr>
        <w:t>urces they need to participate in the digital economy.</w:t>
      </w:r>
    </w:p>
    <w:p w14:paraId="38E12064" w14:textId="77777777" w:rsidR="007356D6" w:rsidRDefault="00D7602D">
      <w:pPr>
        <w:numPr>
          <w:ilvl w:val="2"/>
          <w:numId w:val="56"/>
        </w:numPr>
        <w:spacing w:after="240"/>
      </w:pPr>
      <w:r>
        <w:rPr>
          <w:rFonts w:ascii="Times New Roman" w:eastAsia="Times New Roman" w:hAnsi="Times New Roman" w:cs="Times New Roman"/>
          <w:color w:val="38761D"/>
          <w:sz w:val="28"/>
          <w:szCs w:val="28"/>
        </w:rPr>
        <w:t xml:space="preserve">Evaluation of selected new best practices </w:t>
      </w:r>
    </w:p>
    <w:p w14:paraId="2FA463E3" w14:textId="77777777" w:rsidR="007356D6" w:rsidRDefault="007356D6">
      <w:pPr>
        <w:spacing w:after="240"/>
        <w:jc w:val="both"/>
        <w:rPr>
          <w:rFonts w:ascii="Times New Roman" w:eastAsia="Times New Roman" w:hAnsi="Times New Roman" w:cs="Times New Roman"/>
          <w:sz w:val="24"/>
          <w:szCs w:val="24"/>
        </w:rPr>
      </w:pPr>
    </w:p>
    <w:tbl>
      <w:tblPr>
        <w:tblStyle w:val="a0"/>
        <w:tblW w:w="9750" w:type="dxa"/>
        <w:tblBorders>
          <w:top w:val="nil"/>
          <w:left w:val="nil"/>
          <w:bottom w:val="nil"/>
          <w:right w:val="nil"/>
          <w:insideH w:val="nil"/>
          <w:insideV w:val="nil"/>
        </w:tblBorders>
        <w:tblLayout w:type="fixed"/>
        <w:tblLook w:val="0600" w:firstRow="0" w:lastRow="0" w:firstColumn="0" w:lastColumn="0" w:noHBand="1" w:noVBand="1"/>
      </w:tblPr>
      <w:tblGrid>
        <w:gridCol w:w="1740"/>
        <w:gridCol w:w="7770"/>
        <w:gridCol w:w="240"/>
      </w:tblGrid>
      <w:tr w:rsidR="007356D6" w14:paraId="42B6CEC5" w14:textId="77777777">
        <w:trPr>
          <w:trHeight w:val="772"/>
        </w:trPr>
        <w:tc>
          <w:tcPr>
            <w:tcW w:w="1740" w:type="dxa"/>
            <w:tcBorders>
              <w:top w:val="single" w:sz="8" w:space="0" w:color="000000"/>
              <w:left w:val="single" w:sz="8" w:space="0" w:color="000000"/>
              <w:bottom w:val="single" w:sz="8" w:space="0" w:color="000000"/>
              <w:right w:val="single" w:sz="8" w:space="0" w:color="000000"/>
            </w:tcBorders>
            <w:shd w:val="clear" w:color="auto" w:fill="CFE2F3"/>
            <w:tcMar>
              <w:top w:w="0" w:type="dxa"/>
              <w:left w:w="100" w:type="dxa"/>
              <w:bottom w:w="0" w:type="dxa"/>
              <w:right w:w="100" w:type="dxa"/>
            </w:tcMar>
          </w:tcPr>
          <w:p w14:paraId="5098C0D9"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1</w:t>
            </w:r>
          </w:p>
        </w:tc>
        <w:tc>
          <w:tcPr>
            <w:tcW w:w="7770" w:type="dxa"/>
            <w:tcBorders>
              <w:top w:val="single" w:sz="8" w:space="0" w:color="000000"/>
              <w:left w:val="single" w:sz="8" w:space="0" w:color="000000"/>
              <w:bottom w:val="single" w:sz="8" w:space="0" w:color="000000"/>
              <w:right w:val="single" w:sz="8" w:space="0" w:color="000000"/>
            </w:tcBorders>
            <w:shd w:val="clear" w:color="auto" w:fill="CFE2F3"/>
            <w:tcMar>
              <w:top w:w="0" w:type="dxa"/>
              <w:left w:w="100" w:type="dxa"/>
              <w:bottom w:w="0" w:type="dxa"/>
              <w:right w:w="100" w:type="dxa"/>
            </w:tcMar>
          </w:tcPr>
          <w:p w14:paraId="0F2B2651"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CNSP License</w:t>
            </w:r>
          </w:p>
        </w:tc>
        <w:tc>
          <w:tcPr>
            <w:tcW w:w="240" w:type="dxa"/>
            <w:tcBorders>
              <w:top w:val="nil"/>
              <w:left w:val="single" w:sz="8" w:space="0" w:color="000000"/>
              <w:bottom w:val="nil"/>
              <w:right w:val="nil"/>
            </w:tcBorders>
            <w:tcMar>
              <w:top w:w="100" w:type="dxa"/>
              <w:left w:w="100" w:type="dxa"/>
              <w:bottom w:w="100" w:type="dxa"/>
              <w:right w:w="100" w:type="dxa"/>
            </w:tcMar>
          </w:tcPr>
          <w:p w14:paraId="0569B0F8" w14:textId="77777777" w:rsidR="007356D6" w:rsidRDefault="007356D6">
            <w:pPr>
              <w:spacing w:after="240"/>
              <w:jc w:val="both"/>
              <w:rPr>
                <w:rFonts w:ascii="Times New Roman" w:eastAsia="Times New Roman" w:hAnsi="Times New Roman" w:cs="Times New Roman"/>
                <w:sz w:val="24"/>
                <w:szCs w:val="24"/>
              </w:rPr>
            </w:pPr>
          </w:p>
        </w:tc>
      </w:tr>
      <w:tr w:rsidR="007356D6" w14:paraId="399836AB" w14:textId="77777777">
        <w:trPr>
          <w:trHeight w:val="620"/>
        </w:trPr>
        <w:tc>
          <w:tcPr>
            <w:tcW w:w="17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A2729A3"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B755CC2"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Kenya</w:t>
            </w:r>
          </w:p>
        </w:tc>
        <w:tc>
          <w:tcPr>
            <w:tcW w:w="240" w:type="dxa"/>
            <w:tcBorders>
              <w:top w:val="nil"/>
              <w:left w:val="single" w:sz="8" w:space="0" w:color="000000"/>
              <w:bottom w:val="nil"/>
              <w:right w:val="nil"/>
            </w:tcBorders>
            <w:tcMar>
              <w:top w:w="100" w:type="dxa"/>
              <w:left w:w="100" w:type="dxa"/>
              <w:bottom w:w="100" w:type="dxa"/>
              <w:right w:w="100" w:type="dxa"/>
            </w:tcMar>
          </w:tcPr>
          <w:p w14:paraId="707452C5" w14:textId="77777777" w:rsidR="007356D6" w:rsidRDefault="007356D6">
            <w:pPr>
              <w:spacing w:after="240"/>
              <w:jc w:val="both"/>
              <w:rPr>
                <w:rFonts w:ascii="Times New Roman" w:eastAsia="Times New Roman" w:hAnsi="Times New Roman" w:cs="Times New Roman"/>
                <w:sz w:val="24"/>
                <w:szCs w:val="24"/>
              </w:rPr>
            </w:pPr>
          </w:p>
        </w:tc>
      </w:tr>
      <w:tr w:rsidR="007356D6" w14:paraId="146BDCEB" w14:textId="77777777">
        <w:trPr>
          <w:trHeight w:val="695"/>
        </w:trPr>
        <w:tc>
          <w:tcPr>
            <w:tcW w:w="1740" w:type="dxa"/>
            <w:tcBorders>
              <w:top w:val="single" w:sz="8"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F761591"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Frame</w:t>
            </w:r>
          </w:p>
        </w:tc>
        <w:tc>
          <w:tcPr>
            <w:tcW w:w="7770" w:type="dxa"/>
            <w:tcBorders>
              <w:top w:val="single" w:sz="8" w:space="0" w:color="000000"/>
              <w:left w:val="nil"/>
              <w:bottom w:val="single" w:sz="5" w:space="0" w:color="000000"/>
              <w:right w:val="single" w:sz="5" w:space="0" w:color="000000"/>
            </w:tcBorders>
            <w:tcMar>
              <w:top w:w="0" w:type="dxa"/>
              <w:left w:w="100" w:type="dxa"/>
              <w:bottom w:w="0" w:type="dxa"/>
              <w:right w:w="100" w:type="dxa"/>
            </w:tcMar>
          </w:tcPr>
          <w:p w14:paraId="10260E2E"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2020 -2021</w:t>
            </w:r>
          </w:p>
        </w:tc>
        <w:tc>
          <w:tcPr>
            <w:tcW w:w="240" w:type="dxa"/>
            <w:tcBorders>
              <w:top w:val="nil"/>
              <w:left w:val="nil"/>
              <w:bottom w:val="nil"/>
              <w:right w:val="nil"/>
            </w:tcBorders>
            <w:tcMar>
              <w:top w:w="100" w:type="dxa"/>
              <w:left w:w="100" w:type="dxa"/>
              <w:bottom w:w="100" w:type="dxa"/>
              <w:right w:w="100" w:type="dxa"/>
            </w:tcMar>
          </w:tcPr>
          <w:p w14:paraId="1EFABE86" w14:textId="77777777" w:rsidR="007356D6" w:rsidRDefault="007356D6">
            <w:pPr>
              <w:spacing w:after="240"/>
              <w:jc w:val="both"/>
              <w:rPr>
                <w:rFonts w:ascii="Times New Roman" w:eastAsia="Times New Roman" w:hAnsi="Times New Roman" w:cs="Times New Roman"/>
                <w:sz w:val="24"/>
                <w:szCs w:val="24"/>
              </w:rPr>
            </w:pPr>
          </w:p>
        </w:tc>
      </w:tr>
      <w:tr w:rsidR="007356D6" w14:paraId="5F0F710B" w14:textId="77777777">
        <w:trPr>
          <w:trHeight w:val="620"/>
        </w:trPr>
        <w:tc>
          <w:tcPr>
            <w:tcW w:w="1740" w:type="dxa"/>
            <w:tcBorders>
              <w:top w:val="nil"/>
              <w:left w:val="single" w:sz="5" w:space="0" w:color="000000"/>
              <w:bottom w:val="nil"/>
              <w:right w:val="single" w:sz="5" w:space="0" w:color="000000"/>
            </w:tcBorders>
            <w:tcMar>
              <w:top w:w="0" w:type="dxa"/>
              <w:left w:w="100" w:type="dxa"/>
              <w:bottom w:w="0" w:type="dxa"/>
              <w:right w:w="100" w:type="dxa"/>
            </w:tcMar>
          </w:tcPr>
          <w:p w14:paraId="0906ECBB"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70" w:type="dxa"/>
            <w:tcBorders>
              <w:top w:val="nil"/>
              <w:left w:val="nil"/>
              <w:bottom w:val="nil"/>
              <w:right w:val="single" w:sz="5" w:space="0" w:color="000000"/>
            </w:tcBorders>
            <w:tcMar>
              <w:top w:w="0" w:type="dxa"/>
              <w:left w:w="100" w:type="dxa"/>
              <w:bottom w:w="0" w:type="dxa"/>
              <w:right w:w="100" w:type="dxa"/>
            </w:tcMar>
          </w:tcPr>
          <w:p w14:paraId="69B46EBD"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program was developed with support from the United Kingdom's Digital Access Programme (DAP)</w:t>
            </w:r>
          </w:p>
        </w:tc>
        <w:tc>
          <w:tcPr>
            <w:tcW w:w="240" w:type="dxa"/>
            <w:tcBorders>
              <w:top w:val="nil"/>
              <w:left w:val="nil"/>
              <w:bottom w:val="nil"/>
              <w:right w:val="nil"/>
            </w:tcBorders>
            <w:tcMar>
              <w:top w:w="100" w:type="dxa"/>
              <w:left w:w="100" w:type="dxa"/>
              <w:bottom w:w="100" w:type="dxa"/>
              <w:right w:w="100" w:type="dxa"/>
            </w:tcMar>
          </w:tcPr>
          <w:p w14:paraId="4A093A53" w14:textId="77777777" w:rsidR="007356D6" w:rsidRDefault="007356D6">
            <w:pPr>
              <w:spacing w:after="240"/>
              <w:jc w:val="both"/>
              <w:rPr>
                <w:rFonts w:ascii="Times New Roman" w:eastAsia="Times New Roman" w:hAnsi="Times New Roman" w:cs="Times New Roman"/>
                <w:sz w:val="24"/>
                <w:szCs w:val="24"/>
              </w:rPr>
            </w:pPr>
          </w:p>
        </w:tc>
      </w:tr>
      <w:tr w:rsidR="007356D6" w14:paraId="7F33C191" w14:textId="77777777">
        <w:trPr>
          <w:trHeight w:val="1160"/>
        </w:trPr>
        <w:tc>
          <w:tcPr>
            <w:tcW w:w="17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E70AC9A"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70" w:type="dxa"/>
            <w:tcBorders>
              <w:top w:val="nil"/>
              <w:left w:val="nil"/>
              <w:bottom w:val="single" w:sz="5" w:space="0" w:color="000000"/>
              <w:right w:val="single" w:sz="5" w:space="0" w:color="000000"/>
            </w:tcBorders>
            <w:tcMar>
              <w:top w:w="0" w:type="dxa"/>
              <w:left w:w="100" w:type="dxa"/>
              <w:bottom w:w="0" w:type="dxa"/>
              <w:right w:w="100" w:type="dxa"/>
            </w:tcMar>
          </w:tcPr>
          <w:p w14:paraId="739A8894"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Communications Authority of Kenya, Association for Progressive Communications and Kenya ICT Action Network</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tc>
        <w:tc>
          <w:tcPr>
            <w:tcW w:w="240" w:type="dxa"/>
            <w:tcBorders>
              <w:top w:val="nil"/>
              <w:left w:val="nil"/>
              <w:bottom w:val="nil"/>
              <w:right w:val="nil"/>
            </w:tcBorders>
            <w:tcMar>
              <w:top w:w="100" w:type="dxa"/>
              <w:left w:w="100" w:type="dxa"/>
              <w:bottom w:w="100" w:type="dxa"/>
              <w:right w:w="100" w:type="dxa"/>
            </w:tcMar>
          </w:tcPr>
          <w:p w14:paraId="0A7680B1" w14:textId="77777777" w:rsidR="007356D6" w:rsidRDefault="007356D6">
            <w:pPr>
              <w:spacing w:after="240"/>
              <w:jc w:val="both"/>
              <w:rPr>
                <w:rFonts w:ascii="Times New Roman" w:eastAsia="Times New Roman" w:hAnsi="Times New Roman" w:cs="Times New Roman"/>
                <w:sz w:val="24"/>
                <w:szCs w:val="24"/>
              </w:rPr>
            </w:pPr>
          </w:p>
        </w:tc>
      </w:tr>
      <w:tr w:rsidR="007356D6" w14:paraId="17CE70EB" w14:textId="77777777">
        <w:trPr>
          <w:trHeight w:val="2510"/>
        </w:trPr>
        <w:tc>
          <w:tcPr>
            <w:tcW w:w="17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F95CB83"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What is the problem?</w:t>
            </w:r>
          </w:p>
        </w:tc>
        <w:tc>
          <w:tcPr>
            <w:tcW w:w="7770" w:type="dxa"/>
            <w:tcBorders>
              <w:top w:val="nil"/>
              <w:left w:val="nil"/>
              <w:bottom w:val="single" w:sz="5" w:space="0" w:color="000000"/>
              <w:right w:val="single" w:sz="5" w:space="0" w:color="000000"/>
            </w:tcBorders>
            <w:tcMar>
              <w:top w:w="0" w:type="dxa"/>
              <w:left w:w="100" w:type="dxa"/>
              <w:bottom w:w="0" w:type="dxa"/>
              <w:right w:w="100" w:type="dxa"/>
            </w:tcMar>
          </w:tcPr>
          <w:p w14:paraId="30AD59E6"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Many rural and underserved urban areas in Kenya have historically faced a lack of reliable internet access. These regions are perceived as commercially unviable for major telecommunications companies, leaving communities limited to no connectivity solution</w:t>
            </w:r>
            <w:r>
              <w:rPr>
                <w:rFonts w:ascii="Times New Roman" w:eastAsia="Times New Roman" w:hAnsi="Times New Roman" w:cs="Times New Roman"/>
                <w:sz w:val="20"/>
                <w:szCs w:val="20"/>
                <w:highlight w:val="white"/>
              </w:rPr>
              <w:t xml:space="preserve">s. </w:t>
            </w:r>
          </w:p>
          <w:p w14:paraId="055EA965"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Prior to the introduction of the CNSP license, there were no exemptions for non-profit organizations under the existing licensing framework, which imposed high fees and stringent requirements that made it difficult for community-based initiati</w:t>
            </w:r>
            <w:r>
              <w:rPr>
                <w:rFonts w:ascii="Times New Roman" w:eastAsia="Times New Roman" w:hAnsi="Times New Roman" w:cs="Times New Roman"/>
                <w:sz w:val="20"/>
                <w:szCs w:val="20"/>
                <w:highlight w:val="white"/>
              </w:rPr>
              <w:t>ves to operate legally.</w:t>
            </w:r>
          </w:p>
          <w:p w14:paraId="1B953D31" w14:textId="77777777" w:rsidR="007356D6" w:rsidRDefault="00D7602D">
            <w:pPr>
              <w:pBdr>
                <w:left w:val="none" w:sz="0" w:space="14" w:color="auto"/>
              </w:pBdr>
              <w:spacing w:after="200" w:line="328" w:lineRule="auto"/>
              <w:ind w:left="106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The need for local community ownership and governance in the design and operation of networks is crucial for ensuring that services are tailored to meet the community's specific needs, fostering a sense of ownership and res</w:t>
            </w:r>
            <w:r>
              <w:rPr>
                <w:rFonts w:ascii="Times New Roman" w:eastAsia="Times New Roman" w:hAnsi="Times New Roman" w:cs="Times New Roman"/>
                <w:sz w:val="20"/>
                <w:szCs w:val="20"/>
                <w:highlight w:val="white"/>
              </w:rPr>
              <w:t>ponsibility among users.</w:t>
            </w:r>
          </w:p>
          <w:p w14:paraId="47594ECD"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0" w:type="dxa"/>
            <w:tcBorders>
              <w:top w:val="nil"/>
              <w:left w:val="nil"/>
              <w:bottom w:val="nil"/>
              <w:right w:val="nil"/>
            </w:tcBorders>
            <w:tcMar>
              <w:top w:w="100" w:type="dxa"/>
              <w:left w:w="100" w:type="dxa"/>
              <w:bottom w:w="100" w:type="dxa"/>
              <w:right w:w="100" w:type="dxa"/>
            </w:tcMar>
          </w:tcPr>
          <w:p w14:paraId="4830EBAF" w14:textId="77777777" w:rsidR="007356D6" w:rsidRDefault="007356D6">
            <w:pPr>
              <w:spacing w:after="240"/>
              <w:jc w:val="both"/>
              <w:rPr>
                <w:rFonts w:ascii="Times New Roman" w:eastAsia="Times New Roman" w:hAnsi="Times New Roman" w:cs="Times New Roman"/>
                <w:sz w:val="24"/>
                <w:szCs w:val="24"/>
              </w:rPr>
            </w:pPr>
          </w:p>
        </w:tc>
      </w:tr>
      <w:tr w:rsidR="007356D6" w14:paraId="68BD28EC" w14:textId="77777777">
        <w:trPr>
          <w:trHeight w:val="3485"/>
        </w:trPr>
        <w:tc>
          <w:tcPr>
            <w:tcW w:w="17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5CEA0C4"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70" w:type="dxa"/>
            <w:tcBorders>
              <w:top w:val="nil"/>
              <w:left w:val="nil"/>
              <w:bottom w:val="single" w:sz="5" w:space="0" w:color="000000"/>
              <w:right w:val="single" w:sz="5" w:space="0" w:color="000000"/>
            </w:tcBorders>
            <w:tcMar>
              <w:top w:w="0" w:type="dxa"/>
              <w:left w:w="100" w:type="dxa"/>
              <w:bottom w:w="0" w:type="dxa"/>
              <w:right w:w="100" w:type="dxa"/>
            </w:tcMar>
          </w:tcPr>
          <w:p w14:paraId="42FA5E4A"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Communications Authority of Kenya (CA) created a Licensing and Shared Spectrum Framework for Community Networks in collaboration with  the Association for Progressive Communications (APC) and the Kenya ICT Action Network with input from various stakeho</w:t>
            </w:r>
            <w:r>
              <w:rPr>
                <w:rFonts w:ascii="Times New Roman" w:eastAsia="Times New Roman" w:hAnsi="Times New Roman" w:cs="Times New Roman"/>
                <w:sz w:val="20"/>
                <w:szCs w:val="20"/>
              </w:rPr>
              <w:t>lders</w:t>
            </w:r>
          </w:p>
          <w:p w14:paraId="1A00039E"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framework emphasized community involvement, requiring that community networks be fully controlled by non-profit entities. This was designed to ensure local governance and operationalization of the networks</w:t>
            </w:r>
          </w:p>
          <w:p w14:paraId="0D9789DC"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CNSP license inclu</w:t>
            </w:r>
            <w:r>
              <w:rPr>
                <w:rFonts w:ascii="Times New Roman" w:eastAsia="Times New Roman" w:hAnsi="Times New Roman" w:cs="Times New Roman"/>
                <w:sz w:val="20"/>
                <w:szCs w:val="20"/>
              </w:rPr>
              <w:t>des a low application fee of Ksh 1,000 and an annual operating fee of Ksh 5,000, making it financially accessible compared to other licensing options. Additionally, CNSPs are exempt from contributions to the Universal Service Fund (USF), further reducing c</w:t>
            </w:r>
            <w:r>
              <w:rPr>
                <w:rFonts w:ascii="Times New Roman" w:eastAsia="Times New Roman" w:hAnsi="Times New Roman" w:cs="Times New Roman"/>
                <w:sz w:val="20"/>
                <w:szCs w:val="20"/>
              </w:rPr>
              <w:t>osts</w:t>
            </w:r>
          </w:p>
          <w:p w14:paraId="09907F03"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framework allows for fee waivers on non-protected access to lightly-licensed and license-exempt frequency bands, facilitating easier access to necessary spectrum for community networks</w:t>
            </w:r>
          </w:p>
          <w:p w14:paraId="07655183"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CNSP license integrates community networ</w:t>
            </w:r>
            <w:r>
              <w:rPr>
                <w:rFonts w:ascii="Times New Roman" w:eastAsia="Times New Roman" w:hAnsi="Times New Roman" w:cs="Times New Roman"/>
                <w:sz w:val="20"/>
                <w:szCs w:val="20"/>
              </w:rPr>
              <w:t>ks into the national regulatory framework, allowing existing networks operating outside this ambit to formalize their operations</w:t>
            </w:r>
          </w:p>
          <w:p w14:paraId="54F4C3A3"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0" w:type="dxa"/>
            <w:tcBorders>
              <w:top w:val="nil"/>
              <w:left w:val="nil"/>
              <w:bottom w:val="nil"/>
              <w:right w:val="nil"/>
            </w:tcBorders>
            <w:tcMar>
              <w:top w:w="100" w:type="dxa"/>
              <w:left w:w="100" w:type="dxa"/>
              <w:bottom w:w="100" w:type="dxa"/>
              <w:right w:w="100" w:type="dxa"/>
            </w:tcMar>
          </w:tcPr>
          <w:p w14:paraId="4D023522" w14:textId="77777777" w:rsidR="007356D6" w:rsidRDefault="007356D6">
            <w:pPr>
              <w:spacing w:after="240"/>
              <w:jc w:val="both"/>
              <w:rPr>
                <w:rFonts w:ascii="Times New Roman" w:eastAsia="Times New Roman" w:hAnsi="Times New Roman" w:cs="Times New Roman"/>
                <w:sz w:val="24"/>
                <w:szCs w:val="24"/>
              </w:rPr>
            </w:pPr>
          </w:p>
        </w:tc>
      </w:tr>
      <w:tr w:rsidR="007356D6" w14:paraId="5E343447" w14:textId="77777777">
        <w:trPr>
          <w:trHeight w:val="5720"/>
        </w:trPr>
        <w:tc>
          <w:tcPr>
            <w:tcW w:w="17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BD7E231"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Results / Impact / Lessons learned (what worked / remaining challenges)</w:t>
            </w:r>
          </w:p>
        </w:tc>
        <w:tc>
          <w:tcPr>
            <w:tcW w:w="7770" w:type="dxa"/>
            <w:tcBorders>
              <w:top w:val="nil"/>
              <w:left w:val="nil"/>
              <w:bottom w:val="single" w:sz="5" w:space="0" w:color="000000"/>
              <w:right w:val="single" w:sz="5" w:space="0" w:color="000000"/>
            </w:tcBorders>
            <w:tcMar>
              <w:top w:w="0" w:type="dxa"/>
              <w:left w:w="100" w:type="dxa"/>
              <w:bottom w:w="0" w:type="dxa"/>
              <w:right w:w="100" w:type="dxa"/>
            </w:tcMar>
          </w:tcPr>
          <w:p w14:paraId="640D4053"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6B6997C7"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15 registered Community Network Service Providers (CNSPs) in Kenya, reflecting the growing interest and engagement in community-driven internet solutions.</w:t>
            </w:r>
          </w:p>
          <w:p w14:paraId="4CF08F26"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formation of association for community networks which aims to provide a platform for col</w:t>
            </w:r>
            <w:r>
              <w:rPr>
                <w:rFonts w:ascii="Times New Roman" w:eastAsia="Times New Roman" w:hAnsi="Times New Roman" w:cs="Times New Roman"/>
                <w:sz w:val="20"/>
                <w:szCs w:val="20"/>
              </w:rPr>
              <w:t xml:space="preserve">laboration, knowledge sharing, and advocacy for community network operators. </w:t>
            </w:r>
          </w:p>
          <w:p w14:paraId="43B08756"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draft Universal Service Fund (USF) strategy from the Communications Authority of Kenya (CA) indicates a commitment to funding community networks as part of its broad</w:t>
            </w:r>
            <w:r>
              <w:rPr>
                <w:rFonts w:ascii="Times New Roman" w:eastAsia="Times New Roman" w:hAnsi="Times New Roman" w:cs="Times New Roman"/>
                <w:sz w:val="20"/>
                <w:szCs w:val="20"/>
              </w:rPr>
              <w:t>er goals. The draft USF strategy proposes the establishment of 100 community networks in unserved and underserved areas over the next five years. This initiative aims to enhance connectivity and ensure that local communities have access to essential teleco</w:t>
            </w:r>
            <w:r>
              <w:rPr>
                <w:rFonts w:ascii="Times New Roman" w:eastAsia="Times New Roman" w:hAnsi="Times New Roman" w:cs="Times New Roman"/>
                <w:sz w:val="20"/>
                <w:szCs w:val="20"/>
              </w:rPr>
              <w:t>mmunications services</w:t>
            </w:r>
          </w:p>
          <w:p w14:paraId="6644C29C" w14:textId="77777777" w:rsidR="007356D6" w:rsidRDefault="00D7602D">
            <w:pPr>
              <w:spacing w:before="240" w:line="3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6EAC8BD"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Learnt</w:t>
            </w:r>
          </w:p>
          <w:p w14:paraId="2823F458"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Setting low application and operational fees for the CNSP license has made it financially viable for community-based organizations to participate. This approach has demonstrated that reducing regulatory barriers can significantly enhance participation from</w:t>
            </w:r>
            <w:r>
              <w:rPr>
                <w:rFonts w:ascii="Times New Roman" w:eastAsia="Times New Roman" w:hAnsi="Times New Roman" w:cs="Times New Roman"/>
                <w:sz w:val="20"/>
                <w:szCs w:val="20"/>
              </w:rPr>
              <w:t xml:space="preserve"> underserved areas</w:t>
            </w:r>
          </w:p>
          <w:p w14:paraId="0661AD36"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creation of a specific licensing category for community networks within the Unified Licensing Framework has shown the importance of tailoring regulatory frameworks to accommodate unique operational models, such as those of n</w:t>
            </w:r>
            <w:r>
              <w:rPr>
                <w:rFonts w:ascii="Times New Roman" w:eastAsia="Times New Roman" w:hAnsi="Times New Roman" w:cs="Times New Roman"/>
                <w:sz w:val="20"/>
                <w:szCs w:val="20"/>
              </w:rPr>
              <w:t>on-profit entities</w:t>
            </w:r>
          </w:p>
          <w:p w14:paraId="6C3EB0E7"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Aligning the CNSP initiative with broader national strategies, such as the Universal Service Fund (USF), enhances the potential for funding and support. </w:t>
            </w:r>
          </w:p>
          <w:p w14:paraId="3C158847"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Governments can benefit from the on-the-ground insights that CSOs</w:t>
            </w:r>
            <w:r>
              <w:rPr>
                <w:rFonts w:ascii="Times New Roman" w:eastAsia="Times New Roman" w:hAnsi="Times New Roman" w:cs="Times New Roman"/>
                <w:sz w:val="20"/>
                <w:szCs w:val="20"/>
              </w:rPr>
              <w:t xml:space="preserve"> provide, allowing for more effective policy-making that addresses the specific needs of communities.</w:t>
            </w:r>
          </w:p>
          <w:p w14:paraId="2119D719"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0" w:type="dxa"/>
            <w:tcBorders>
              <w:top w:val="nil"/>
              <w:left w:val="nil"/>
              <w:bottom w:val="nil"/>
              <w:right w:val="nil"/>
            </w:tcBorders>
            <w:tcMar>
              <w:top w:w="100" w:type="dxa"/>
              <w:left w:w="100" w:type="dxa"/>
              <w:bottom w:w="100" w:type="dxa"/>
              <w:right w:w="100" w:type="dxa"/>
            </w:tcMar>
          </w:tcPr>
          <w:p w14:paraId="775DA29C" w14:textId="77777777" w:rsidR="007356D6" w:rsidRDefault="007356D6">
            <w:pPr>
              <w:spacing w:after="240"/>
              <w:jc w:val="both"/>
              <w:rPr>
                <w:rFonts w:ascii="Times New Roman" w:eastAsia="Times New Roman" w:hAnsi="Times New Roman" w:cs="Times New Roman"/>
                <w:sz w:val="24"/>
                <w:szCs w:val="24"/>
              </w:rPr>
            </w:pPr>
          </w:p>
        </w:tc>
      </w:tr>
    </w:tbl>
    <w:p w14:paraId="13C68081" w14:textId="77777777" w:rsidR="007356D6" w:rsidRDefault="007356D6">
      <w:pPr>
        <w:spacing w:after="240"/>
        <w:jc w:val="both"/>
        <w:rPr>
          <w:rFonts w:ascii="Times New Roman" w:eastAsia="Times New Roman" w:hAnsi="Times New Roman" w:cs="Times New Roman"/>
          <w:sz w:val="24"/>
          <w:szCs w:val="24"/>
        </w:rPr>
      </w:pPr>
    </w:p>
    <w:p w14:paraId="413CA03E" w14:textId="77777777" w:rsidR="007356D6" w:rsidRDefault="007356D6">
      <w:pPr>
        <w:spacing w:after="240"/>
        <w:jc w:val="both"/>
        <w:rPr>
          <w:rFonts w:ascii="Times New Roman" w:eastAsia="Times New Roman" w:hAnsi="Times New Roman" w:cs="Times New Roman"/>
          <w:sz w:val="24"/>
          <w:szCs w:val="24"/>
        </w:rPr>
      </w:pPr>
    </w:p>
    <w:p w14:paraId="4DDC3A06" w14:textId="77777777" w:rsidR="007356D6" w:rsidRDefault="00D7602D">
      <w:pPr>
        <w:numPr>
          <w:ilvl w:val="2"/>
          <w:numId w:val="56"/>
        </w:numPr>
        <w:spacing w:after="240"/>
        <w:jc w:val="both"/>
      </w:pPr>
      <w:r>
        <w:rPr>
          <w:rFonts w:ascii="Times New Roman" w:eastAsia="Times New Roman" w:hAnsi="Times New Roman" w:cs="Times New Roman"/>
          <w:color w:val="38761D"/>
          <w:sz w:val="28"/>
          <w:szCs w:val="28"/>
        </w:rPr>
        <w:t>Monitoring of the implementation of best practices experiences identified in 2023 and in previous years</w:t>
      </w:r>
    </w:p>
    <w:p w14:paraId="14AAC74F" w14:textId="77777777" w:rsidR="007356D6" w:rsidRDefault="00D760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subsection aims to showcase the development, successes and challenges faced by the good practices identified in previous reports. The focal point of each case was directly contacted to provide information via a standard form as seen below.</w:t>
      </w:r>
    </w:p>
    <w:p w14:paraId="76ACCDFB" w14:textId="77777777" w:rsidR="007356D6" w:rsidRDefault="00D7602D">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select</w:t>
      </w:r>
      <w:r>
        <w:rPr>
          <w:rFonts w:ascii="Times New Roman" w:eastAsia="Times New Roman" w:hAnsi="Times New Roman" w:cs="Times New Roman"/>
          <w:b/>
          <w:sz w:val="24"/>
          <w:szCs w:val="24"/>
        </w:rPr>
        <w:t>ed cases:</w:t>
      </w:r>
    </w:p>
    <w:p w14:paraId="5E66FD6F" w14:textId="77777777" w:rsidR="007356D6" w:rsidRDefault="007356D6">
      <w:pPr>
        <w:spacing w:after="240"/>
        <w:jc w:val="both"/>
        <w:rPr>
          <w:rFonts w:ascii="Times New Roman" w:eastAsia="Times New Roman" w:hAnsi="Times New Roman" w:cs="Times New Roman"/>
          <w:sz w:val="24"/>
          <w:szCs w:val="24"/>
        </w:rPr>
      </w:pP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1954"/>
        <w:gridCol w:w="7691"/>
      </w:tblGrid>
      <w:tr w:rsidR="007356D6" w14:paraId="618F83CB" w14:textId="77777777">
        <w:trPr>
          <w:trHeight w:val="300"/>
        </w:trPr>
        <w:tc>
          <w:tcPr>
            <w:tcW w:w="1954" w:type="dxa"/>
            <w:tcBorders>
              <w:top w:val="single" w:sz="5" w:space="0" w:color="000000"/>
              <w:left w:val="single" w:sz="5" w:space="0" w:color="000000"/>
              <w:bottom w:val="single" w:sz="5" w:space="0" w:color="000000"/>
              <w:right w:val="single" w:sz="5" w:space="0" w:color="000000"/>
            </w:tcBorders>
            <w:shd w:val="clear" w:color="auto" w:fill="CFE2F3"/>
            <w:tcMar>
              <w:top w:w="0" w:type="dxa"/>
              <w:left w:w="100" w:type="dxa"/>
              <w:bottom w:w="0" w:type="dxa"/>
              <w:right w:w="100" w:type="dxa"/>
            </w:tcMar>
          </w:tcPr>
          <w:p w14:paraId="301570DA" w14:textId="77777777" w:rsidR="007356D6" w:rsidRDefault="00D7602D">
            <w:pPr>
              <w:spacing w:before="380" w:after="38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Case C01:</w:t>
            </w:r>
          </w:p>
        </w:tc>
        <w:tc>
          <w:tcPr>
            <w:tcW w:w="7690" w:type="dxa"/>
            <w:tcBorders>
              <w:top w:val="single" w:sz="5" w:space="0" w:color="000000"/>
              <w:left w:val="nil"/>
              <w:bottom w:val="single" w:sz="5" w:space="0" w:color="000000"/>
              <w:right w:val="single" w:sz="5" w:space="0" w:color="000000"/>
            </w:tcBorders>
            <w:shd w:val="clear" w:color="auto" w:fill="CFE2F3"/>
            <w:tcMar>
              <w:top w:w="0" w:type="dxa"/>
              <w:left w:w="100" w:type="dxa"/>
              <w:bottom w:w="0" w:type="dxa"/>
              <w:right w:w="100" w:type="dxa"/>
            </w:tcMar>
          </w:tcPr>
          <w:p w14:paraId="419739C1" w14:textId="77777777" w:rsidR="007356D6" w:rsidRDefault="00D7602D">
            <w:pPr>
              <w:spacing w:before="380" w:after="380"/>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Papua New Guinea’s Digital Strategy</w:t>
            </w:r>
          </w:p>
        </w:tc>
      </w:tr>
      <w:tr w:rsidR="007356D6" w14:paraId="22523A4B" w14:textId="77777777">
        <w:trPr>
          <w:trHeight w:val="826"/>
        </w:trPr>
        <w:tc>
          <w:tcPr>
            <w:tcW w:w="1954" w:type="dxa"/>
            <w:tcBorders>
              <w:top w:val="nil"/>
              <w:left w:val="single" w:sz="5" w:space="0" w:color="000000"/>
              <w:bottom w:val="single" w:sz="5" w:space="0" w:color="000000"/>
              <w:right w:val="single" w:sz="5" w:space="0" w:color="000000"/>
            </w:tcBorders>
            <w:shd w:val="clear" w:color="auto" w:fill="CFE2F3"/>
            <w:tcMar>
              <w:top w:w="0" w:type="dxa"/>
              <w:left w:w="100" w:type="dxa"/>
              <w:bottom w:w="0" w:type="dxa"/>
              <w:right w:w="100" w:type="dxa"/>
            </w:tcMar>
          </w:tcPr>
          <w:p w14:paraId="59BFE50D" w14:textId="77777777" w:rsidR="007356D6" w:rsidRDefault="00D7602D">
            <w:pPr>
              <w:spacing w:before="380" w:after="38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Presented at the 2023 PNMA Plenary Session:</w:t>
            </w:r>
          </w:p>
        </w:tc>
        <w:tc>
          <w:tcPr>
            <w:tcW w:w="7690" w:type="dxa"/>
            <w:tcBorders>
              <w:top w:val="nil"/>
              <w:left w:val="nil"/>
              <w:bottom w:val="single" w:sz="5" w:space="0" w:color="000000"/>
              <w:right w:val="single" w:sz="5" w:space="0" w:color="000000"/>
            </w:tcBorders>
            <w:shd w:val="clear" w:color="auto" w:fill="CFE2F3"/>
            <w:tcMar>
              <w:top w:w="0" w:type="dxa"/>
              <w:left w:w="100" w:type="dxa"/>
              <w:bottom w:w="0" w:type="dxa"/>
              <w:right w:w="100" w:type="dxa"/>
            </w:tcMar>
          </w:tcPr>
          <w:p w14:paraId="31C3098D" w14:textId="77777777" w:rsidR="007356D6" w:rsidRDefault="00D7602D">
            <w:pPr>
              <w:spacing w:before="380" w:after="38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Yes</w:t>
            </w:r>
          </w:p>
        </w:tc>
      </w:tr>
      <w:tr w:rsidR="007356D6" w14:paraId="5310DC4C" w14:textId="77777777">
        <w:trPr>
          <w:trHeight w:val="420"/>
        </w:trPr>
        <w:tc>
          <w:tcPr>
            <w:tcW w:w="195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7932171" w14:textId="77777777" w:rsidR="007356D6" w:rsidRDefault="00D7602D">
            <w:pPr>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690" w:type="dxa"/>
            <w:tcBorders>
              <w:top w:val="nil"/>
              <w:left w:val="nil"/>
              <w:bottom w:val="single" w:sz="5" w:space="0" w:color="000000"/>
              <w:right w:val="single" w:sz="5" w:space="0" w:color="000000"/>
            </w:tcBorders>
            <w:tcMar>
              <w:top w:w="0" w:type="dxa"/>
              <w:left w:w="100" w:type="dxa"/>
              <w:bottom w:w="0" w:type="dxa"/>
              <w:right w:w="100" w:type="dxa"/>
            </w:tcMar>
          </w:tcPr>
          <w:p w14:paraId="7276CFDA" w14:textId="77777777" w:rsidR="007356D6" w:rsidRDefault="00D7602D">
            <w:pPr>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Papua New Guinea</w:t>
            </w:r>
          </w:p>
        </w:tc>
      </w:tr>
      <w:tr w:rsidR="007356D6" w14:paraId="4B40E7CE" w14:textId="77777777">
        <w:trPr>
          <w:trHeight w:val="1110"/>
        </w:trPr>
        <w:tc>
          <w:tcPr>
            <w:tcW w:w="195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8E0446C" w14:textId="77777777" w:rsidR="007356D6" w:rsidRDefault="00D7602D">
            <w:pPr>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690" w:type="dxa"/>
            <w:tcBorders>
              <w:top w:val="nil"/>
              <w:left w:val="nil"/>
              <w:bottom w:val="single" w:sz="5" w:space="0" w:color="000000"/>
              <w:right w:val="single" w:sz="5" w:space="0" w:color="000000"/>
            </w:tcBorders>
            <w:tcMar>
              <w:top w:w="0" w:type="dxa"/>
              <w:left w:w="100" w:type="dxa"/>
              <w:bottom w:w="0" w:type="dxa"/>
              <w:right w:w="100" w:type="dxa"/>
            </w:tcMar>
          </w:tcPr>
          <w:p w14:paraId="5EADC3E4" w14:textId="77777777" w:rsidR="007356D6" w:rsidRDefault="00D7602D">
            <w:pPr>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Government Funding Plus support for several international advisers funded by the Economic Social Infrastructure Program administered by DT Global and funded by the Australian Department of Foreign Aid and Trade</w:t>
            </w:r>
          </w:p>
        </w:tc>
      </w:tr>
      <w:tr w:rsidR="007356D6" w14:paraId="224ADECA" w14:textId="77777777">
        <w:trPr>
          <w:trHeight w:val="495"/>
        </w:trPr>
        <w:tc>
          <w:tcPr>
            <w:tcW w:w="195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409ABD8" w14:textId="77777777" w:rsidR="007356D6" w:rsidRDefault="00D7602D">
            <w:pPr>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690" w:type="dxa"/>
            <w:tcBorders>
              <w:top w:val="nil"/>
              <w:left w:val="nil"/>
              <w:bottom w:val="single" w:sz="5" w:space="0" w:color="000000"/>
              <w:right w:val="single" w:sz="5" w:space="0" w:color="000000"/>
            </w:tcBorders>
            <w:tcMar>
              <w:top w:w="0" w:type="dxa"/>
              <w:left w:w="100" w:type="dxa"/>
              <w:bottom w:w="0" w:type="dxa"/>
              <w:right w:w="100" w:type="dxa"/>
            </w:tcMar>
          </w:tcPr>
          <w:p w14:paraId="5212476C" w14:textId="77777777" w:rsidR="007356D6" w:rsidRDefault="00D7602D">
            <w:pPr>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ICT, Secretary Steven Matainaho</w:t>
            </w:r>
          </w:p>
        </w:tc>
      </w:tr>
      <w:tr w:rsidR="007356D6" w14:paraId="3F2D0E83" w14:textId="77777777">
        <w:trPr>
          <w:trHeight w:val="9810"/>
        </w:trPr>
        <w:tc>
          <w:tcPr>
            <w:tcW w:w="195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D51BC15" w14:textId="77777777" w:rsidR="007356D6" w:rsidRDefault="00D7602D">
            <w:pPr>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What is the problem?</w:t>
            </w:r>
          </w:p>
        </w:tc>
        <w:tc>
          <w:tcPr>
            <w:tcW w:w="7690" w:type="dxa"/>
            <w:tcBorders>
              <w:top w:val="nil"/>
              <w:left w:val="nil"/>
              <w:bottom w:val="single" w:sz="5" w:space="0" w:color="000000"/>
              <w:right w:val="single" w:sz="5" w:space="0" w:color="000000"/>
            </w:tcBorders>
            <w:tcMar>
              <w:top w:w="0" w:type="dxa"/>
              <w:left w:w="100" w:type="dxa"/>
              <w:bottom w:w="0" w:type="dxa"/>
              <w:right w:w="100" w:type="dxa"/>
            </w:tcMar>
          </w:tcPr>
          <w:p w14:paraId="33A93D28"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z w:val="20"/>
                <w:szCs w:val="20"/>
              </w:rPr>
              <w:t>How to get people in our rural communities to have the means to access government goods and services through mobile phones without the expense and wasted time of travel and queues?</w:t>
            </w:r>
          </w:p>
          <w:p w14:paraId="7E9C04F7"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z w:val="20"/>
                <w:szCs w:val="20"/>
              </w:rPr>
              <w:t xml:space="preserve">Currently </w:t>
            </w:r>
            <w:r>
              <w:rPr>
                <w:rFonts w:ascii="Times New Roman" w:eastAsia="Times New Roman" w:hAnsi="Times New Roman" w:cs="Times New Roman"/>
                <w:sz w:val="20"/>
                <w:szCs w:val="20"/>
              </w:rPr>
              <w:t>much of the country does not have connectivity to the In</w:t>
            </w:r>
            <w:r>
              <w:rPr>
                <w:rFonts w:ascii="Times New Roman" w:eastAsia="Times New Roman" w:hAnsi="Times New Roman" w:cs="Times New Roman"/>
                <w:sz w:val="20"/>
                <w:szCs w:val="20"/>
              </w:rPr>
              <w:t xml:space="preserve">ternet and it is very difficult to close the connectivity and digital gap without access. </w:t>
            </w:r>
            <w:r>
              <w:rPr>
                <w:rFonts w:ascii="Times New Roman" w:eastAsia="Times New Roman" w:hAnsi="Times New Roman" w:cs="Times New Roman"/>
                <w:color w:val="231F20"/>
                <w:sz w:val="20"/>
                <w:szCs w:val="20"/>
              </w:rPr>
              <w:t>Affordable, accessible, and reliable infrastructure is the foundation to achieve an inclusive digital transformation.</w:t>
            </w:r>
          </w:p>
          <w:p w14:paraId="427764FA"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z w:val="20"/>
                <w:szCs w:val="20"/>
              </w:rPr>
              <w:t xml:space="preserve">How do we get private sector companies </w:t>
            </w:r>
            <w:r>
              <w:rPr>
                <w:rFonts w:ascii="Times New Roman" w:eastAsia="Times New Roman" w:hAnsi="Times New Roman" w:cs="Times New Roman"/>
                <w:color w:val="231F20"/>
                <w:sz w:val="20"/>
                <w:szCs w:val="20"/>
              </w:rPr>
              <w:t>to drive down the price of Internet access, expand coverage to the millions that remain unconnected, and build the inclusive foundation for a robust digital economy?</w:t>
            </w:r>
          </w:p>
          <w:p w14:paraId="79699E5D"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z w:val="20"/>
                <w:szCs w:val="20"/>
              </w:rPr>
              <w:t>How does PNG build an inclusive and strong digital economy when most of the natio</w:t>
            </w:r>
            <w:r>
              <w:rPr>
                <w:rFonts w:ascii="Times New Roman" w:eastAsia="Times New Roman" w:hAnsi="Times New Roman" w:cs="Times New Roman"/>
                <w:color w:val="231F20"/>
                <w:sz w:val="20"/>
                <w:szCs w:val="20"/>
              </w:rPr>
              <w:t>n does not have access to the Internet?</w:t>
            </w:r>
          </w:p>
          <w:p w14:paraId="63ED43EE"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z w:val="20"/>
                <w:szCs w:val="20"/>
              </w:rPr>
              <w:t>What policies and incentives do we need to encourage operators and other providers to make connectivity affordable, especially those in remote rural areas?</w:t>
            </w:r>
          </w:p>
          <w:p w14:paraId="2053DBE7"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z w:val="20"/>
                <w:szCs w:val="20"/>
              </w:rPr>
              <w:t xml:space="preserve">How do we incentivise operators to invest </w:t>
            </w:r>
            <w:r>
              <w:rPr>
                <w:rFonts w:ascii="Times New Roman" w:eastAsia="Times New Roman" w:hAnsi="Times New Roman" w:cs="Times New Roman"/>
                <w:color w:val="231F20"/>
                <w:sz w:val="20"/>
                <w:szCs w:val="20"/>
              </w:rPr>
              <w:t>the needed infrastructure in the country?</w:t>
            </w:r>
          </w:p>
          <w:p w14:paraId="4C27E99C"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z w:val="20"/>
                <w:szCs w:val="20"/>
              </w:rPr>
              <w:t>What actions are needed to build an inclusive community and leave no one behind, with a particular focus on women, indigenous groups and persons with disabilities? These marginalised groups tend to be sign</w:t>
            </w:r>
            <w:r>
              <w:rPr>
                <w:rFonts w:ascii="Times New Roman" w:eastAsia="Times New Roman" w:hAnsi="Times New Roman" w:cs="Times New Roman"/>
                <w:color w:val="231F20"/>
                <w:sz w:val="20"/>
                <w:szCs w:val="20"/>
              </w:rPr>
              <w:t xml:space="preserve">ificantly less likely to own a phone, access the Internet and on-line services, and integrate ICT functions in their daily lives. </w:t>
            </w:r>
          </w:p>
          <w:p w14:paraId="3239E475"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color w:val="231F20"/>
                <w:sz w:val="20"/>
                <w:szCs w:val="20"/>
              </w:rPr>
              <w:t>How do we overcome the lack of digital readiness and cultural challenges to transform the country into a strong digital economy? The same is true with overcoming entrenched legacy policies and regulatory frameworks which are siloed and do not work in a dig</w:t>
            </w:r>
            <w:r>
              <w:rPr>
                <w:rFonts w:ascii="Times New Roman" w:eastAsia="Times New Roman" w:hAnsi="Times New Roman" w:cs="Times New Roman"/>
                <w:color w:val="231F20"/>
                <w:sz w:val="20"/>
                <w:szCs w:val="20"/>
              </w:rPr>
              <w:t>ital economy.</w:t>
            </w:r>
          </w:p>
          <w:p w14:paraId="71FE2DB9" w14:textId="77777777" w:rsidR="007356D6" w:rsidRDefault="00D7602D">
            <w:pPr>
              <w:spacing w:before="380" w:after="380"/>
              <w:ind w:left="140" w:right="14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Our Vision is to transform the nation to become a fully modern, prosperous, and integrated digital/information age economy and society. This will mean that all citizens will have the ability to access and utilise advanced, high-quality information and comm</w:t>
            </w:r>
            <w:r>
              <w:rPr>
                <w:rFonts w:ascii="Times New Roman" w:eastAsia="Times New Roman" w:hAnsi="Times New Roman" w:cs="Times New Roman"/>
                <w:color w:val="231F20"/>
                <w:sz w:val="20"/>
                <w:szCs w:val="20"/>
              </w:rPr>
              <w:t>unication technology (ICT) services, devices, applications, and resources. Access to ICT networks, services, and connectivity has little or no value if people are unable to afford or own modern, multipurpose digital devices, which connect to, and use those</w:t>
            </w:r>
            <w:r>
              <w:rPr>
                <w:rFonts w:ascii="Times New Roman" w:eastAsia="Times New Roman" w:hAnsi="Times New Roman" w:cs="Times New Roman"/>
                <w:color w:val="231F20"/>
                <w:sz w:val="20"/>
                <w:szCs w:val="20"/>
              </w:rPr>
              <w:t xml:space="preserve"> networks and services. This policy aims to ensure that appropriate and fully functional devices can be made affordable to all who need them, via a combination of programs, partnerships, incentives, and other mechanisms.</w:t>
            </w:r>
          </w:p>
        </w:tc>
      </w:tr>
      <w:tr w:rsidR="007356D6" w14:paraId="68E54C7D" w14:textId="77777777">
        <w:trPr>
          <w:trHeight w:val="9465"/>
        </w:trPr>
        <w:tc>
          <w:tcPr>
            <w:tcW w:w="195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E929E9E" w14:textId="77777777" w:rsidR="007356D6" w:rsidRDefault="00D7602D">
            <w:pPr>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Which were the actions taken to ad</w:t>
            </w:r>
            <w:r>
              <w:rPr>
                <w:rFonts w:ascii="Times New Roman" w:eastAsia="Times New Roman" w:hAnsi="Times New Roman" w:cs="Times New Roman"/>
                <w:b/>
                <w:sz w:val="20"/>
                <w:szCs w:val="20"/>
              </w:rPr>
              <w:t>dress the problem(s)?</w:t>
            </w:r>
          </w:p>
        </w:tc>
        <w:tc>
          <w:tcPr>
            <w:tcW w:w="7690" w:type="dxa"/>
            <w:tcBorders>
              <w:top w:val="nil"/>
              <w:left w:val="nil"/>
              <w:bottom w:val="single" w:sz="5" w:space="0" w:color="000000"/>
              <w:right w:val="single" w:sz="5" w:space="0" w:color="000000"/>
            </w:tcBorders>
            <w:tcMar>
              <w:top w:w="0" w:type="dxa"/>
              <w:left w:w="100" w:type="dxa"/>
              <w:bottom w:w="0" w:type="dxa"/>
              <w:right w:w="100" w:type="dxa"/>
            </w:tcMar>
          </w:tcPr>
          <w:p w14:paraId="19DBE3E0"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Developed Several Key Digital Economy Policies.</w:t>
            </w:r>
          </w:p>
          <w:p w14:paraId="23C1BF00"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Passed Digital Transformation Policy 2020</w:t>
            </w:r>
          </w:p>
          <w:p w14:paraId="5AC9266F"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Passed Cybersecurity Policy 2021</w:t>
            </w:r>
          </w:p>
          <w:p w14:paraId="71D45C71"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Passed Digital Government Legislation 2022</w:t>
            </w:r>
          </w:p>
          <w:p w14:paraId="7AEB5F5F"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Passed a Digital Govern</w:t>
            </w:r>
            <w:r>
              <w:rPr>
                <w:rFonts w:ascii="Times New Roman" w:eastAsia="Times New Roman" w:hAnsi="Times New Roman" w:cs="Times New Roman"/>
                <w:sz w:val="20"/>
                <w:szCs w:val="20"/>
              </w:rPr>
              <w:t>ment five-year plan and worked to implement the plan to build the needed connectivity infrastructure to implement the plan</w:t>
            </w:r>
          </w:p>
          <w:p w14:paraId="32B6B753"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Revised UAS Policy 2023, currently in front of the NEC</w:t>
            </w:r>
          </w:p>
          <w:p w14:paraId="26A3AFB7"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Developed the First National Broadband Plan to meet Connectivity. Infrastructure, Digital Government and other goals.</w:t>
            </w:r>
          </w:p>
          <w:p w14:paraId="7098BAAC"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Developed Data Governance and Data Protection Policy 2023</w:t>
            </w:r>
          </w:p>
          <w:p w14:paraId="2E3E455B"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Worked to get funding for the ICT sector in the Government’s M</w:t>
            </w:r>
            <w:r>
              <w:rPr>
                <w:rFonts w:ascii="Times New Roman" w:eastAsia="Times New Roman" w:hAnsi="Times New Roman" w:cs="Times New Roman"/>
                <w:sz w:val="20"/>
                <w:szCs w:val="20"/>
              </w:rPr>
              <w:t xml:space="preserve">edium Term Development Plan.  Previously ICT sector was not captured in the Government’s 5-year plan to Department worked and collaborated with National Planning and other Ministries to get the sector included into the Government’s 5-year plans so Digital </w:t>
            </w:r>
            <w:r>
              <w:rPr>
                <w:rFonts w:ascii="Times New Roman" w:eastAsia="Times New Roman" w:hAnsi="Times New Roman" w:cs="Times New Roman"/>
                <w:sz w:val="20"/>
                <w:szCs w:val="20"/>
              </w:rPr>
              <w:t>Government can be funded</w:t>
            </w:r>
          </w:p>
          <w:p w14:paraId="25F78B0D"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Developed a Media Policy to create standards for the media to help eliminate mis-information and dis-information in the media.</w:t>
            </w:r>
          </w:p>
          <w:p w14:paraId="249E4725"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Conducted a series of workshops on the new policies in each of the 5 regions of the co</w:t>
            </w:r>
            <w:r>
              <w:rPr>
                <w:rFonts w:ascii="Times New Roman" w:eastAsia="Times New Roman" w:hAnsi="Times New Roman" w:cs="Times New Roman"/>
                <w:sz w:val="20"/>
                <w:szCs w:val="20"/>
              </w:rPr>
              <w:t>untry to educate the public about digital economy and digital government policies</w:t>
            </w:r>
          </w:p>
          <w:p w14:paraId="671C0C9D"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Brought in IT officers (Digital Transformation Officers) into the capital for several days of training so they can train colleagues in their provinces</w:t>
            </w:r>
          </w:p>
          <w:p w14:paraId="3A1CC963"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Working with the local and regional offices to train and educate them about the new polices.</w:t>
            </w:r>
          </w:p>
          <w:p w14:paraId="7D66B972"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Worked with our stakeholders to gain their comments and suggestions for improvement on policies.</w:t>
            </w:r>
          </w:p>
        </w:tc>
      </w:tr>
      <w:tr w:rsidR="007356D6" w14:paraId="77BEDBB6" w14:textId="77777777">
        <w:trPr>
          <w:trHeight w:val="9150"/>
        </w:trPr>
        <w:tc>
          <w:tcPr>
            <w:tcW w:w="195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FB43DD6" w14:textId="77777777" w:rsidR="007356D6" w:rsidRDefault="00D7602D">
            <w:pPr>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Results / Impact / Lessons learned (what worked / remain</w:t>
            </w:r>
            <w:r>
              <w:rPr>
                <w:rFonts w:ascii="Times New Roman" w:eastAsia="Times New Roman" w:hAnsi="Times New Roman" w:cs="Times New Roman"/>
                <w:b/>
                <w:sz w:val="20"/>
                <w:szCs w:val="20"/>
              </w:rPr>
              <w:t>ing challenges)</w:t>
            </w:r>
          </w:p>
        </w:tc>
        <w:tc>
          <w:tcPr>
            <w:tcW w:w="7690" w:type="dxa"/>
            <w:tcBorders>
              <w:top w:val="nil"/>
              <w:left w:val="nil"/>
              <w:bottom w:val="single" w:sz="5" w:space="0" w:color="000000"/>
              <w:right w:val="single" w:sz="5" w:space="0" w:color="000000"/>
            </w:tcBorders>
            <w:tcMar>
              <w:top w:w="0" w:type="dxa"/>
              <w:left w:w="100" w:type="dxa"/>
              <w:bottom w:w="0" w:type="dxa"/>
              <w:right w:w="100" w:type="dxa"/>
            </w:tcMar>
          </w:tcPr>
          <w:p w14:paraId="00B52033" w14:textId="77777777" w:rsidR="007356D6" w:rsidRDefault="00D7602D">
            <w:pPr>
              <w:spacing w:before="380" w:after="380"/>
              <w:ind w:left="50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Results:</w:t>
            </w:r>
          </w:p>
          <w:p w14:paraId="3FA0F5C1"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Passed several policies and laws, and working to pass other key digital economy policies that underpin any digital transformation</w:t>
            </w:r>
          </w:p>
          <w:p w14:paraId="1D00D3EB"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Trained and made aware many stakeholders, agencies, and others about the new policies and the strategies for going forward.</w:t>
            </w:r>
          </w:p>
          <w:p w14:paraId="43CEA567"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 xml:space="preserve">Worked to involve stakeholders into the policy process while policies are still in draft form so we can gather their input and </w:t>
            </w:r>
            <w:r>
              <w:rPr>
                <w:rFonts w:ascii="Times New Roman" w:eastAsia="Times New Roman" w:hAnsi="Times New Roman" w:cs="Times New Roman"/>
                <w:sz w:val="20"/>
                <w:szCs w:val="20"/>
              </w:rPr>
              <w:t>feedback allowing them to take ownership of the policies which will help their implementation.</w:t>
            </w:r>
          </w:p>
          <w:p w14:paraId="69AC41BF"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 xml:space="preserve">Breaking down the transformation process into manageable units, and aligning them with core principles, allows for synergy and scale and binding factor for </w:t>
            </w:r>
            <w:r>
              <w:rPr>
                <w:rFonts w:ascii="Times New Roman" w:eastAsia="Times New Roman" w:hAnsi="Times New Roman" w:cs="Times New Roman"/>
                <w:sz w:val="20"/>
                <w:szCs w:val="20"/>
              </w:rPr>
              <w:t>enabling seamless progress, are effective collaboration and coordination</w:t>
            </w:r>
          </w:p>
          <w:p w14:paraId="10633AB8" w14:textId="77777777" w:rsidR="007356D6" w:rsidRDefault="00D7602D">
            <w:pPr>
              <w:spacing w:before="380" w:after="380"/>
              <w:ind w:left="50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Many lessons were learned:</w:t>
            </w:r>
          </w:p>
          <w:p w14:paraId="49D061C3"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Developing a strategic roadmap for addressing and rectifying technological, cultural and policy/regulatory issues is paramount for progress and ad</w:t>
            </w:r>
            <w:r>
              <w:rPr>
                <w:rFonts w:ascii="Times New Roman" w:eastAsia="Times New Roman" w:hAnsi="Times New Roman" w:cs="Times New Roman"/>
                <w:sz w:val="20"/>
                <w:szCs w:val="20"/>
              </w:rPr>
              <w:t>vancement.</w:t>
            </w:r>
          </w:p>
          <w:p w14:paraId="5A43432A"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Collaborating and coordinating with other agencies and with all stakeholders, government, private sector, and civil society is key</w:t>
            </w:r>
          </w:p>
          <w:p w14:paraId="61748D7A"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Take a bird's-eye view of the shifting landscape, understanding the guiding principles of each component</w:t>
            </w:r>
            <w:r>
              <w:rPr>
                <w:rFonts w:ascii="Times New Roman" w:eastAsia="Times New Roman" w:hAnsi="Times New Roman" w:cs="Times New Roman"/>
                <w:sz w:val="20"/>
                <w:szCs w:val="20"/>
              </w:rPr>
              <w:t>, and devising strategies to navigate failures. The small growths that define success, and collaboration and coordination that allow for a shifting culture to seamlessly complement adoption</w:t>
            </w:r>
          </w:p>
          <w:p w14:paraId="4F647EC0"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Breaking down the transformation process into manageable unit</w:t>
            </w:r>
            <w:r>
              <w:rPr>
                <w:rFonts w:ascii="Times New Roman" w:eastAsia="Times New Roman" w:hAnsi="Times New Roman" w:cs="Times New Roman"/>
                <w:sz w:val="20"/>
                <w:szCs w:val="20"/>
              </w:rPr>
              <w:t>s, and aligning them with core principles, allows for synergy and scale and binding factors for enabling seamless progress, are effective collaboration and coordination.</w:t>
            </w:r>
          </w:p>
          <w:p w14:paraId="5D5F6823" w14:textId="77777777" w:rsidR="007356D6" w:rsidRDefault="00D7602D">
            <w:pPr>
              <w:spacing w:before="380" w:after="380"/>
              <w:ind w:left="50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Remaining Challenges:</w:t>
            </w:r>
          </w:p>
          <w:p w14:paraId="302ADF22"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How to implement the plan and strategy in a countr</w:t>
            </w:r>
            <w:r>
              <w:rPr>
                <w:rFonts w:ascii="Times New Roman" w:eastAsia="Times New Roman" w:hAnsi="Times New Roman" w:cs="Times New Roman"/>
                <w:sz w:val="20"/>
                <w:szCs w:val="20"/>
              </w:rPr>
              <w:t>y where readiness and aversion to change is at different levels? Also, when certain agencies are fixated on legacy policies and entrenched regulatory frameworks that do not work in today’s economy?</w:t>
            </w:r>
          </w:p>
        </w:tc>
      </w:tr>
      <w:tr w:rsidR="007356D6" w14:paraId="44D29AAC" w14:textId="77777777">
        <w:trPr>
          <w:trHeight w:val="709"/>
        </w:trPr>
        <w:tc>
          <w:tcPr>
            <w:tcW w:w="9644" w:type="dxa"/>
            <w:gridSpan w:val="2"/>
            <w:tcBorders>
              <w:bottom w:val="single" w:sz="8" w:space="0" w:color="000000"/>
            </w:tcBorders>
            <w:shd w:val="clear" w:color="auto" w:fill="CFE2F3"/>
            <w:tcMar>
              <w:top w:w="100" w:type="dxa"/>
              <w:left w:w="100" w:type="dxa"/>
              <w:bottom w:w="100" w:type="dxa"/>
              <w:right w:w="100" w:type="dxa"/>
            </w:tcMar>
          </w:tcPr>
          <w:p w14:paraId="6FFFD671" w14:textId="77777777" w:rsidR="007356D6" w:rsidRDefault="00D7602D">
            <w:pPr>
              <w:spacing w:line="240" w:lineRule="auto"/>
              <w:jc w:val="center"/>
              <w:rPr>
                <w:b/>
                <w:highlight w:val="green"/>
              </w:rPr>
            </w:pPr>
            <w:r>
              <w:rPr>
                <w:b/>
              </w:rPr>
              <w:t xml:space="preserve">Follow-up on </w:t>
            </w:r>
            <w:r>
              <w:rPr>
                <w:b/>
                <w:highlight w:val="green"/>
              </w:rPr>
              <w:t>[write date]</w:t>
            </w:r>
          </w:p>
        </w:tc>
      </w:tr>
      <w:tr w:rsidR="007356D6" w14:paraId="5A911D79"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E84886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Has the problem </w:t>
            </w:r>
            <w:r>
              <w:rPr>
                <w:rFonts w:ascii="Times New Roman" w:eastAsia="Times New Roman" w:hAnsi="Times New Roman" w:cs="Times New Roman"/>
                <w:b/>
                <w:sz w:val="20"/>
                <w:szCs w:val="20"/>
              </w:rPr>
              <w:lastRenderedPageBreak/>
              <w:t>been solved?</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2DCE6"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(partial, fully; include numbers when possible)</w:t>
            </w:r>
          </w:p>
        </w:tc>
      </w:tr>
      <w:tr w:rsidR="007356D6" w14:paraId="6C3BE031"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C24947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01CC0"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36508F6"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014AE1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8612E"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B424185"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615AAC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w:t>
            </w:r>
            <w:r>
              <w:rPr>
                <w:rFonts w:ascii="Times New Roman" w:eastAsia="Times New Roman" w:hAnsi="Times New Roman" w:cs="Times New Roman"/>
                <w:b/>
                <w:sz w:val="20"/>
                <w:szCs w:val="20"/>
              </w:rPr>
              <w:t xml:space="preserve"> so, please share examples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43217"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F765C2F"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7D868C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77AFF"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3DF026F3"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ABB3ED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731DA"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6CF8B92F"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1131F4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4C3D0"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203C250"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CE529E0"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43C23"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7542485B"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DECE56"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2"/>
        <w:tblW w:w="9400" w:type="dxa"/>
        <w:tblBorders>
          <w:top w:val="nil"/>
          <w:left w:val="nil"/>
          <w:bottom w:val="nil"/>
          <w:right w:val="nil"/>
          <w:insideH w:val="nil"/>
          <w:insideV w:val="nil"/>
        </w:tblBorders>
        <w:tblLayout w:type="fixed"/>
        <w:tblLook w:val="0600" w:firstRow="0" w:lastRow="0" w:firstColumn="0" w:lastColumn="0" w:noHBand="1" w:noVBand="1"/>
      </w:tblPr>
      <w:tblGrid>
        <w:gridCol w:w="2276"/>
        <w:gridCol w:w="7124"/>
      </w:tblGrid>
      <w:tr w:rsidR="007356D6" w14:paraId="4EC56439" w14:textId="77777777">
        <w:trPr>
          <w:trHeight w:val="450"/>
        </w:trPr>
        <w:tc>
          <w:tcPr>
            <w:tcW w:w="2275" w:type="dxa"/>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209E75B6"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C02:</w:t>
            </w:r>
          </w:p>
        </w:tc>
        <w:tc>
          <w:tcPr>
            <w:tcW w:w="7122" w:type="dxa"/>
            <w:tcBorders>
              <w:top w:val="single" w:sz="5" w:space="0" w:color="000000"/>
              <w:left w:val="nil"/>
              <w:bottom w:val="single" w:sz="5" w:space="0" w:color="000000"/>
              <w:right w:val="single" w:sz="5" w:space="0" w:color="000000"/>
            </w:tcBorders>
            <w:shd w:val="clear" w:color="auto" w:fill="CFE2F3"/>
            <w:tcMar>
              <w:top w:w="100" w:type="dxa"/>
              <w:left w:w="100" w:type="dxa"/>
              <w:bottom w:w="100" w:type="dxa"/>
              <w:right w:w="100" w:type="dxa"/>
            </w:tcMar>
          </w:tcPr>
          <w:p w14:paraId="7A1690FE" w14:textId="77777777" w:rsidR="007356D6" w:rsidRDefault="00D7602D">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Gigabit Libraries Network</w:t>
            </w:r>
          </w:p>
        </w:tc>
      </w:tr>
      <w:tr w:rsidR="007356D6" w14:paraId="63238203" w14:textId="77777777">
        <w:trPr>
          <w:trHeight w:val="735"/>
        </w:trPr>
        <w:tc>
          <w:tcPr>
            <w:tcW w:w="2275" w:type="dxa"/>
            <w:tcBorders>
              <w:top w:val="nil"/>
              <w:left w:val="single" w:sz="5" w:space="0" w:color="000000"/>
              <w:bottom w:val="single" w:sz="5" w:space="0" w:color="000000"/>
              <w:right w:val="single" w:sz="5" w:space="0" w:color="000000"/>
            </w:tcBorders>
            <w:shd w:val="clear" w:color="auto" w:fill="CFE2F3"/>
            <w:tcMar>
              <w:top w:w="0" w:type="dxa"/>
              <w:left w:w="100" w:type="dxa"/>
              <w:bottom w:w="0" w:type="dxa"/>
              <w:right w:w="100" w:type="dxa"/>
            </w:tcMar>
          </w:tcPr>
          <w:p w14:paraId="05A2B39B"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Presented at the 2023 PNMA Plenary Session:</w:t>
            </w:r>
          </w:p>
        </w:tc>
        <w:tc>
          <w:tcPr>
            <w:tcW w:w="7122" w:type="dxa"/>
            <w:tcBorders>
              <w:top w:val="nil"/>
              <w:left w:val="nil"/>
              <w:bottom w:val="single" w:sz="5" w:space="0" w:color="000000"/>
              <w:right w:val="single" w:sz="5" w:space="0" w:color="000000"/>
            </w:tcBorders>
            <w:shd w:val="clear" w:color="auto" w:fill="CFE2F3"/>
            <w:tcMar>
              <w:top w:w="0" w:type="dxa"/>
              <w:left w:w="100" w:type="dxa"/>
              <w:bottom w:w="0" w:type="dxa"/>
              <w:right w:w="100" w:type="dxa"/>
            </w:tcMar>
          </w:tcPr>
          <w:p w14:paraId="4DD0ED11"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Yes</w:t>
            </w:r>
          </w:p>
        </w:tc>
      </w:tr>
      <w:tr w:rsidR="007356D6" w14:paraId="65525EC9" w14:textId="77777777">
        <w:trPr>
          <w:trHeight w:val="45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43F88F3"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Location:</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475C6A3"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Sausalito, California, USA</w:t>
            </w:r>
          </w:p>
        </w:tc>
      </w:tr>
      <w:tr w:rsidR="007356D6" w14:paraId="19CFB5D1" w14:textId="77777777">
        <w:trPr>
          <w:trHeight w:val="69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40B43BA"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F31EFF7"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IFLA, ISOC, Partnership for Public Access, ITDRC, Adaptrum, Broadband Breakfast, Washington D.C. ISOC chapter</w:t>
            </w:r>
          </w:p>
        </w:tc>
      </w:tr>
      <w:tr w:rsidR="007356D6" w14:paraId="6061ACA5" w14:textId="77777777">
        <w:trPr>
          <w:trHeight w:val="93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07ED9A8"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1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70EDDB"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Digital Village, IFLA, Partnership for Public Access, Internet Society</w:t>
            </w:r>
          </w:p>
        </w:tc>
      </w:tr>
      <w:tr w:rsidR="007356D6" w14:paraId="40C00000" w14:textId="77777777">
        <w:trPr>
          <w:trHeight w:val="2895"/>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E2917BA"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1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7FEF9F" w14:textId="77777777" w:rsidR="007356D6" w:rsidRDefault="00D7602D">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Despite the technological developments that have taken place during the last decades. Many international organizations, bodies and agencies report an increasing expansion of the digital divide that may worsen inequality around access to information and res</w:t>
            </w:r>
            <w:r>
              <w:rPr>
                <w:rFonts w:ascii="Times New Roman" w:eastAsia="Times New Roman" w:hAnsi="Times New Roman" w:cs="Times New Roman"/>
                <w:sz w:val="20"/>
                <w:szCs w:val="20"/>
                <w:highlight w:val="white"/>
              </w:rPr>
              <w:t>ources. Bridging the digital divide is a key factor in achieving the Sustainable Development Goals of the United Nations as the access to information resources and the means of communication supports health and education as much as cultural and economic de</w:t>
            </w:r>
            <w:r>
              <w:rPr>
                <w:rFonts w:ascii="Times New Roman" w:eastAsia="Times New Roman" w:hAnsi="Times New Roman" w:cs="Times New Roman"/>
                <w:sz w:val="20"/>
                <w:szCs w:val="20"/>
                <w:highlight w:val="white"/>
              </w:rPr>
              <w:t>velopment.</w:t>
            </w:r>
          </w:p>
          <w:p w14:paraId="2C187151" w14:textId="77777777" w:rsidR="007356D6" w:rsidRDefault="00D7602D">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With nearly half of humanity remaining on the wrong side of an ever-widening digital divide, three main barriers to adoption persist: availability, affordability and usability.</w:t>
            </w:r>
            <w:r>
              <w:rPr>
                <w:rFonts w:ascii="Times New Roman" w:eastAsia="Times New Roman" w:hAnsi="Times New Roman" w:cs="Times New Roman"/>
                <w:sz w:val="20"/>
                <w:szCs w:val="20"/>
                <w:highlight w:val="white"/>
              </w:rPr>
              <w:br/>
              <w:t xml:space="preserve"> The GLN attempts to tackle these issues by facilitating connectivit</w:t>
            </w:r>
            <w:r>
              <w:rPr>
                <w:rFonts w:ascii="Times New Roman" w:eastAsia="Times New Roman" w:hAnsi="Times New Roman" w:cs="Times New Roman"/>
                <w:sz w:val="20"/>
                <w:szCs w:val="20"/>
                <w:highlight w:val="white"/>
              </w:rPr>
              <w:t>y and access to information in remote areas with the use of innovative technologies such as the TV Whitespace spectrum and others.</w:t>
            </w:r>
          </w:p>
        </w:tc>
      </w:tr>
      <w:tr w:rsidR="007356D6" w14:paraId="4ACA8676" w14:textId="77777777">
        <w:trPr>
          <w:trHeight w:val="477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0CCD618"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D3E253E"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Gigabit Libraries Network (GLN):</w:t>
            </w:r>
            <w:r>
              <w:rPr>
                <w:rFonts w:ascii="Times New Roman" w:eastAsia="Times New Roman" w:hAnsi="Times New Roman" w:cs="Times New Roman"/>
                <w:sz w:val="20"/>
                <w:szCs w:val="20"/>
              </w:rPr>
              <w:t xml:space="preserve"> An open collaboration of innovative libraries cooperating as a distributed testbed and showcase environment for high performance applications and equipment in the service of educational, civic and cultural objectives.</w:t>
            </w:r>
          </w:p>
          <w:p w14:paraId="0427A327"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LEO Libraries:</w:t>
            </w:r>
            <w:r>
              <w:rPr>
                <w:rFonts w:ascii="Times New Roman" w:eastAsia="Times New Roman" w:hAnsi="Times New Roman" w:cs="Times New Roman"/>
                <w:sz w:val="20"/>
                <w:szCs w:val="20"/>
              </w:rPr>
              <w:t xml:space="preserve"> An initiative that mar</w:t>
            </w:r>
            <w:r>
              <w:rPr>
                <w:rFonts w:ascii="Times New Roman" w:eastAsia="Times New Roman" w:hAnsi="Times New Roman" w:cs="Times New Roman"/>
                <w:sz w:val="20"/>
                <w:szCs w:val="20"/>
              </w:rPr>
              <w:t>ries potentially game-changing low earth orbit (LEO) satellite internet access with the myriad public services of libraries (see next case)</w:t>
            </w:r>
          </w:p>
          <w:p w14:paraId="7FAACABB" w14:textId="77777777" w:rsidR="007356D6" w:rsidRDefault="00D7602D">
            <w:pPr>
              <w:spacing w:before="240" w:after="240"/>
              <w:jc w:val="both"/>
              <w:rPr>
                <w:rFonts w:ascii="Times New Roman" w:eastAsia="Times New Roman" w:hAnsi="Times New Roman" w:cs="Times New Roman"/>
                <w:sz w:val="20"/>
                <w:szCs w:val="20"/>
              </w:rPr>
            </w:pPr>
            <w:hyperlink r:id="rId19">
              <w:r>
                <w:rPr>
                  <w:rFonts w:ascii="Times New Roman" w:eastAsia="Times New Roman" w:hAnsi="Times New Roman" w:cs="Times New Roman"/>
                  <w:b/>
                  <w:color w:val="1155CC"/>
                  <w:sz w:val="20"/>
                  <w:szCs w:val="20"/>
                  <w:u w:val="single"/>
                </w:rPr>
                <w:t>C</w:t>
              </w:r>
              <w:r>
                <w:rPr>
                  <w:rFonts w:ascii="Times New Roman" w:eastAsia="Times New Roman" w:hAnsi="Times New Roman" w:cs="Times New Roman"/>
                  <w:b/>
                  <w:color w:val="1155CC"/>
                  <w:sz w:val="20"/>
                  <w:szCs w:val="20"/>
                  <w:u w:val="single"/>
                </w:rPr>
                <w:t>ommunity SecondNets:</w:t>
              </w:r>
            </w:hyperlink>
            <w:r>
              <w:rPr>
                <w:rFonts w:ascii="Times New Roman" w:eastAsia="Times New Roman" w:hAnsi="Times New Roman" w:cs="Times New Roman"/>
                <w:sz w:val="20"/>
                <w:szCs w:val="20"/>
              </w:rPr>
              <w:t xml:space="preserve"> an alternative network infrastructure which utilizes wide area TV Whitespace spectrum, are deployed to create Wi-Fi MESH intranets independent of the public infrastructure providing direct links between libraries, schools, clinics and </w:t>
            </w:r>
            <w:r>
              <w:rPr>
                <w:rFonts w:ascii="Times New Roman" w:eastAsia="Times New Roman" w:hAnsi="Times New Roman" w:cs="Times New Roman"/>
                <w:sz w:val="20"/>
                <w:szCs w:val="20"/>
              </w:rPr>
              <w:t>other second responders.</w:t>
            </w:r>
          </w:p>
          <w:p w14:paraId="563077A5" w14:textId="77777777" w:rsidR="007356D6" w:rsidRDefault="00D7602D">
            <w:pPr>
              <w:spacing w:before="240" w:after="240"/>
              <w:jc w:val="both"/>
              <w:rPr>
                <w:rFonts w:ascii="Times New Roman" w:eastAsia="Times New Roman" w:hAnsi="Times New Roman" w:cs="Times New Roman"/>
                <w:sz w:val="20"/>
                <w:szCs w:val="20"/>
              </w:rPr>
            </w:pPr>
            <w:hyperlink r:id="rId20">
              <w:r>
                <w:rPr>
                  <w:rFonts w:ascii="Times New Roman" w:eastAsia="Times New Roman" w:hAnsi="Times New Roman" w:cs="Times New Roman"/>
                  <w:b/>
                  <w:color w:val="1155CC"/>
                  <w:sz w:val="20"/>
                  <w:szCs w:val="20"/>
                  <w:u w:val="single"/>
                </w:rPr>
                <w:t>Libraries WhiteSpace Pilot:</w:t>
              </w:r>
            </w:hyperlink>
            <w:r>
              <w:rPr>
                <w:rFonts w:ascii="Times New Roman" w:eastAsia="Times New Roman" w:hAnsi="Times New Roman" w:cs="Times New Roman"/>
                <w:sz w:val="20"/>
                <w:szCs w:val="20"/>
              </w:rPr>
              <w:t xml:space="preserve"> Project examines how integrating unlicensed open wireless communication technologies can benefit library users by combining the near universal comp</w:t>
            </w:r>
            <w:r>
              <w:rPr>
                <w:rFonts w:ascii="Times New Roman" w:eastAsia="Times New Roman" w:hAnsi="Times New Roman" w:cs="Times New Roman"/>
                <w:sz w:val="20"/>
                <w:szCs w:val="20"/>
              </w:rPr>
              <w:t>atibility of Wi-Fi with the range and penetrating capabilities of WhiteSpace devices.</w:t>
            </w:r>
          </w:p>
          <w:p w14:paraId="1C6ADDC5" w14:textId="77777777" w:rsidR="007356D6" w:rsidRDefault="00D7602D">
            <w:pPr>
              <w:spacing w:before="240" w:after="240"/>
              <w:jc w:val="both"/>
              <w:rPr>
                <w:rFonts w:ascii="Times New Roman" w:eastAsia="Times New Roman" w:hAnsi="Times New Roman" w:cs="Times New Roman"/>
                <w:sz w:val="20"/>
                <w:szCs w:val="20"/>
              </w:rPr>
            </w:pPr>
            <w:hyperlink r:id="rId21">
              <w:r>
                <w:rPr>
                  <w:rFonts w:ascii="Times New Roman" w:eastAsia="Times New Roman" w:hAnsi="Times New Roman" w:cs="Times New Roman"/>
                  <w:b/>
                  <w:color w:val="1155CC"/>
                  <w:sz w:val="20"/>
                  <w:szCs w:val="20"/>
                  <w:u w:val="single"/>
                </w:rPr>
                <w:t>Fiber to the Library:</w:t>
              </w:r>
            </w:hyperlink>
            <w:r>
              <w:rPr>
                <w:rFonts w:ascii="Times New Roman" w:eastAsia="Times New Roman" w:hAnsi="Times New Roman" w:cs="Times New Roman"/>
                <w:sz w:val="20"/>
                <w:szCs w:val="20"/>
              </w:rPr>
              <w:t xml:space="preserve"> DVA initiative to assur</w:t>
            </w:r>
            <w:r>
              <w:rPr>
                <w:rFonts w:ascii="Times New Roman" w:eastAsia="Times New Roman" w:hAnsi="Times New Roman" w:cs="Times New Roman"/>
                <w:sz w:val="20"/>
                <w:szCs w:val="20"/>
              </w:rPr>
              <w:t>e next-generation Internet connectivity into every U.S. community through the nation’s 16,500 public libraries. FTTL has served as a guiding concept and spearhead for national buildout of broadband under the National Broadband Plan.</w:t>
            </w:r>
          </w:p>
        </w:tc>
      </w:tr>
      <w:tr w:rsidR="007356D6" w14:paraId="7761D9C6" w14:textId="77777777">
        <w:trPr>
          <w:trHeight w:val="1275"/>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6954A09"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Results / Impact / Lessons learned (what worked / remaining challenges)</w:t>
            </w:r>
          </w:p>
        </w:tc>
        <w:tc>
          <w:tcPr>
            <w:tcW w:w="71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462E0F"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These projects have helped establish libraries as natural community technology hubs, as show case environments for emerging tech, as demo sites for community awareness, as responders i</w:t>
            </w:r>
            <w:r>
              <w:rPr>
                <w:rFonts w:ascii="Times New Roman" w:eastAsia="Times New Roman" w:hAnsi="Times New Roman" w:cs="Times New Roman"/>
                <w:sz w:val="20"/>
                <w:szCs w:val="20"/>
              </w:rPr>
              <w:t>n disasters and as the “human face” of e-government.  The technology pilot projects have also made the case for use of appropriate tech to match the challenge. Do not lead with a technology. Analyse, test, refine, commit.</w:t>
            </w:r>
          </w:p>
        </w:tc>
      </w:tr>
      <w:tr w:rsidR="007356D6" w14:paraId="3061D8D2" w14:textId="77777777">
        <w:trPr>
          <w:trHeight w:val="450"/>
        </w:trPr>
        <w:tc>
          <w:tcPr>
            <w:tcW w:w="9397"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7FEC8972" w14:textId="77777777" w:rsidR="007356D6" w:rsidRDefault="00D7602D">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 available</w:t>
            </w:r>
          </w:p>
        </w:tc>
      </w:tr>
      <w:tr w:rsidR="007356D6" w14:paraId="723AD5B5" w14:textId="77777777">
        <w:trPr>
          <w:trHeight w:val="93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4C7B440"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C5ACB6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Partially. Outcomes have varied by project. Detailed reports on various wireless technologies can be found at</w:t>
            </w:r>
            <w:hyperlink r:id="rId22">
              <w:r>
                <w:rPr>
                  <w:rFonts w:ascii="Times New Roman" w:eastAsia="Times New Roman" w:hAnsi="Times New Roman" w:cs="Times New Roman"/>
                  <w:sz w:val="20"/>
                  <w:szCs w:val="20"/>
                </w:rPr>
                <w:t xml:space="preserve"> </w:t>
              </w:r>
            </w:hyperlink>
            <w:hyperlink r:id="rId23">
              <w:r>
                <w:rPr>
                  <w:rFonts w:ascii="Times New Roman" w:eastAsia="Times New Roman" w:hAnsi="Times New Roman" w:cs="Times New Roman"/>
                  <w:color w:val="1155CC"/>
                  <w:sz w:val="20"/>
                  <w:szCs w:val="20"/>
                  <w:u w:val="single"/>
                </w:rPr>
                <w:t>https://gigabitlibrariesnetwork.wildapricot.org/SecondNets-Consortium</w:t>
              </w:r>
            </w:hyperlink>
            <w:r>
              <w:rPr>
                <w:rFonts w:ascii="Times New Roman" w:eastAsia="Times New Roman" w:hAnsi="Times New Roman" w:cs="Times New Roman"/>
                <w:sz w:val="20"/>
                <w:szCs w:val="20"/>
              </w:rPr>
              <w:t xml:space="preserve">   Success key has been found in thorough planning, flexibility and most important, partnerships.</w:t>
            </w:r>
          </w:p>
        </w:tc>
      </w:tr>
      <w:tr w:rsidR="007356D6" w14:paraId="0FD54AA4" w14:textId="77777777">
        <w:trPr>
          <w:trHeight w:val="93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6257B1C"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w:t>
            </w:r>
            <w:r>
              <w:rPr>
                <w:rFonts w:ascii="Times New Roman" w:eastAsia="Times New Roman" w:hAnsi="Times New Roman" w:cs="Times New Roman"/>
                <w:b/>
                <w:sz w:val="20"/>
                <w:szCs w:val="20"/>
              </w:rPr>
              <w:t xml:space="preserve"> during implementation?</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6F0D2D6"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pandemic disrupted plans and ability of some partners to participate</w:t>
            </w:r>
          </w:p>
        </w:tc>
      </w:tr>
      <w:tr w:rsidR="007356D6" w14:paraId="7BC6B87C" w14:textId="77777777">
        <w:trPr>
          <w:trHeight w:val="141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49D2277"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B3FDB24"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most recent trial is in using new era satellite systems in low eart</w:t>
            </w:r>
            <w:r>
              <w:rPr>
                <w:rFonts w:ascii="Times New Roman" w:eastAsia="Times New Roman" w:hAnsi="Times New Roman" w:cs="Times New Roman"/>
                <w:sz w:val="20"/>
                <w:szCs w:val="20"/>
              </w:rPr>
              <w:t>h orbit. The technology has proven extraordinarily effective and simple to set up and operate. The remaining problem is one of expense. These early-stage systems, ideal for rural libraries, remain too expensive for many to adopt. However, the leading provi</w:t>
            </w:r>
            <w:r>
              <w:rPr>
                <w:rFonts w:ascii="Times New Roman" w:eastAsia="Times New Roman" w:hAnsi="Times New Roman" w:cs="Times New Roman"/>
                <w:sz w:val="20"/>
                <w:szCs w:val="20"/>
              </w:rPr>
              <w:t>der, Starlink, has begun to adjust pricing to fit national economic levels with greatly reduced rates. Very promising!</w:t>
            </w:r>
          </w:p>
        </w:tc>
      </w:tr>
      <w:tr w:rsidR="007356D6" w14:paraId="1F5E3F33" w14:textId="77777777">
        <w:trPr>
          <w:trHeight w:val="117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1A06709"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localized to other regions? If so, please share examples</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19D6CA8"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California, Kansas, Colorado, Mississippi, Illinois, and New Hampshire</w:t>
            </w:r>
          </w:p>
        </w:tc>
      </w:tr>
      <w:tr w:rsidR="007356D6" w14:paraId="07746806" w14:textId="77777777">
        <w:trPr>
          <w:trHeight w:val="69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DAB5D04"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21C6C53"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Scaling this solution to other areas not just in the US but also in other regions in the world. Particularly in underserved communities who need it most.</w:t>
            </w:r>
          </w:p>
        </w:tc>
      </w:tr>
      <w:tr w:rsidR="007356D6" w14:paraId="353EF875" w14:textId="77777777">
        <w:trPr>
          <w:trHeight w:val="93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7C766AE"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7BAD30A"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Marking the advent of a new era in satellite communications over the next few years, thousands of new satellites are planned to be launched into low Earth orbit (LEO), medium Earth orbit (MEO), and into geosynchronous orbit (GEO)</w:t>
            </w:r>
          </w:p>
        </w:tc>
      </w:tr>
      <w:tr w:rsidR="007356D6" w14:paraId="479C4044" w14:textId="77777777">
        <w:trPr>
          <w:trHeight w:val="93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BCE6177"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77DFE94"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What are the opportunities and challenges for this emergent satellite-based ecosystem? How can they work together to help us bring connectivity into every community, </w:t>
            </w:r>
            <w:r>
              <w:rPr>
                <w:rFonts w:ascii="Times New Roman" w:eastAsia="Times New Roman" w:hAnsi="Times New Roman" w:cs="Times New Roman"/>
                <w:sz w:val="20"/>
                <w:szCs w:val="20"/>
              </w:rPr>
              <w:lastRenderedPageBreak/>
              <w:t>everywhere? And what are the policy issues that must be addressed both interna</w:t>
            </w:r>
            <w:r>
              <w:rPr>
                <w:rFonts w:ascii="Times New Roman" w:eastAsia="Times New Roman" w:hAnsi="Times New Roman" w:cs="Times New Roman"/>
                <w:sz w:val="20"/>
                <w:szCs w:val="20"/>
              </w:rPr>
              <w:t>tionally and within nations?</w:t>
            </w:r>
          </w:p>
        </w:tc>
      </w:tr>
    </w:tbl>
    <w:p w14:paraId="505A5C00" w14:textId="77777777" w:rsidR="007356D6" w:rsidRDefault="007356D6">
      <w:pPr>
        <w:spacing w:after="240"/>
        <w:jc w:val="both"/>
        <w:rPr>
          <w:rFonts w:ascii="Times New Roman" w:eastAsia="Times New Roman" w:hAnsi="Times New Roman" w:cs="Times New Roman"/>
          <w:sz w:val="24"/>
          <w:szCs w:val="24"/>
        </w:rPr>
      </w:pPr>
    </w:p>
    <w:tbl>
      <w:tblPr>
        <w:tblStyle w:val="a3"/>
        <w:tblW w:w="9640" w:type="dxa"/>
        <w:tblBorders>
          <w:top w:val="nil"/>
          <w:left w:val="nil"/>
          <w:bottom w:val="nil"/>
          <w:right w:val="nil"/>
          <w:insideH w:val="nil"/>
          <w:insideV w:val="nil"/>
        </w:tblBorders>
        <w:tblLayout w:type="fixed"/>
        <w:tblLook w:val="0600" w:firstRow="0" w:lastRow="0" w:firstColumn="0" w:lastColumn="0" w:noHBand="1" w:noVBand="1"/>
      </w:tblPr>
      <w:tblGrid>
        <w:gridCol w:w="9640"/>
      </w:tblGrid>
      <w:tr w:rsidR="007356D6" w14:paraId="488D1389" w14:textId="77777777">
        <w:trPr>
          <w:trHeight w:val="709"/>
        </w:trPr>
        <w:tc>
          <w:tcPr>
            <w:tcW w:w="9639" w:type="dxa"/>
            <w:tcBorders>
              <w:bottom w:val="single" w:sz="8" w:space="0" w:color="000000"/>
            </w:tcBorders>
            <w:shd w:val="clear" w:color="auto" w:fill="CFE2F3"/>
            <w:tcMar>
              <w:top w:w="100" w:type="dxa"/>
              <w:left w:w="100" w:type="dxa"/>
              <w:bottom w:w="100" w:type="dxa"/>
              <w:right w:w="100" w:type="dxa"/>
            </w:tcMar>
          </w:tcPr>
          <w:p w14:paraId="35884A09" w14:textId="77777777" w:rsidR="007356D6" w:rsidRDefault="00D7602D">
            <w:pPr>
              <w:spacing w:line="240" w:lineRule="auto"/>
              <w:jc w:val="center"/>
              <w:rPr>
                <w:b/>
                <w:highlight w:val="green"/>
              </w:rPr>
            </w:pPr>
            <w:r>
              <w:rPr>
                <w:b/>
              </w:rPr>
              <w:t xml:space="preserve">2024 Follow-up on </w:t>
            </w:r>
            <w:r>
              <w:rPr>
                <w:b/>
                <w:highlight w:val="green"/>
              </w:rPr>
              <w:t>[write date]</w:t>
            </w:r>
          </w:p>
        </w:tc>
      </w:tr>
    </w:tbl>
    <w:p w14:paraId="6733478F" w14:textId="77777777" w:rsidR="007356D6" w:rsidRDefault="007356D6">
      <w:pPr>
        <w:spacing w:before="240" w:after="240"/>
        <w:jc w:val="both"/>
        <w:rPr>
          <w:rFonts w:ascii="Times New Roman" w:eastAsia="Times New Roman" w:hAnsi="Times New Roman" w:cs="Times New Roman"/>
          <w:sz w:val="24"/>
          <w:szCs w:val="24"/>
        </w:rPr>
      </w:pPr>
    </w:p>
    <w:tbl>
      <w:tblPr>
        <w:tblStyle w:val="a4"/>
        <w:tblW w:w="9645" w:type="dxa"/>
        <w:tblBorders>
          <w:top w:val="nil"/>
          <w:left w:val="nil"/>
          <w:bottom w:val="nil"/>
          <w:right w:val="nil"/>
          <w:insideH w:val="nil"/>
          <w:insideV w:val="nil"/>
        </w:tblBorders>
        <w:tblLayout w:type="fixed"/>
        <w:tblLook w:val="0600" w:firstRow="0" w:lastRow="0" w:firstColumn="0" w:lastColumn="0" w:noHBand="1" w:noVBand="1"/>
      </w:tblPr>
      <w:tblGrid>
        <w:gridCol w:w="1954"/>
        <w:gridCol w:w="7691"/>
      </w:tblGrid>
      <w:tr w:rsidR="007356D6" w14:paraId="654F23CE" w14:textId="77777777">
        <w:trPr>
          <w:trHeight w:val="709"/>
        </w:trPr>
        <w:tc>
          <w:tcPr>
            <w:tcW w:w="19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D1C2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DF0E3"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38BD5D51" w14:textId="77777777">
        <w:trPr>
          <w:trHeight w:val="709"/>
        </w:trPr>
        <w:tc>
          <w:tcPr>
            <w:tcW w:w="1954" w:type="dxa"/>
            <w:tcBorders>
              <w:top w:val="single" w:sz="8"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81D92E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914BD"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EF43A31"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3B1D14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67D5D"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F7ADD33"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A6948B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83375"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71DC979"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784FB9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4B8AE"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7401B8D0"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CC6EDC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9C44A1"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764DF5F"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11C0C1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859A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B1A00F6"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3DA1438"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Next steps: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67C43"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0FA3C97E"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5"/>
        <w:tblW w:w="9637" w:type="dxa"/>
        <w:tblBorders>
          <w:top w:val="nil"/>
          <w:left w:val="nil"/>
          <w:bottom w:val="nil"/>
          <w:right w:val="nil"/>
          <w:insideH w:val="nil"/>
          <w:insideV w:val="nil"/>
        </w:tblBorders>
        <w:tblLayout w:type="fixed"/>
        <w:tblLook w:val="0600" w:firstRow="0" w:lastRow="0" w:firstColumn="0" w:lastColumn="0" w:noHBand="1" w:noVBand="1"/>
      </w:tblPr>
      <w:tblGrid>
        <w:gridCol w:w="2323"/>
        <w:gridCol w:w="7314"/>
      </w:tblGrid>
      <w:tr w:rsidR="007356D6" w14:paraId="2CECA91D" w14:textId="77777777">
        <w:trPr>
          <w:trHeight w:val="450"/>
        </w:trPr>
        <w:tc>
          <w:tcPr>
            <w:tcW w:w="2323" w:type="dxa"/>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19759E5F"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C03:</w:t>
            </w:r>
          </w:p>
        </w:tc>
        <w:tc>
          <w:tcPr>
            <w:tcW w:w="7313" w:type="dxa"/>
            <w:tcBorders>
              <w:top w:val="single" w:sz="5" w:space="0" w:color="000000"/>
              <w:left w:val="nil"/>
              <w:bottom w:val="single" w:sz="5" w:space="0" w:color="000000"/>
              <w:right w:val="single" w:sz="5" w:space="0" w:color="000000"/>
            </w:tcBorders>
            <w:shd w:val="clear" w:color="auto" w:fill="CFE2F3"/>
            <w:tcMar>
              <w:top w:w="100" w:type="dxa"/>
              <w:left w:w="100" w:type="dxa"/>
              <w:bottom w:w="100" w:type="dxa"/>
              <w:right w:w="100" w:type="dxa"/>
            </w:tcMar>
          </w:tcPr>
          <w:p w14:paraId="504973CF" w14:textId="77777777" w:rsidR="007356D6" w:rsidRDefault="00D7602D">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LEO Libraries</w:t>
            </w:r>
          </w:p>
        </w:tc>
      </w:tr>
      <w:tr w:rsidR="007356D6" w14:paraId="71FB221B" w14:textId="77777777">
        <w:trPr>
          <w:trHeight w:val="495"/>
        </w:trPr>
        <w:tc>
          <w:tcPr>
            <w:tcW w:w="2323" w:type="dxa"/>
            <w:tcBorders>
              <w:top w:val="nil"/>
              <w:left w:val="single" w:sz="5" w:space="0" w:color="000000"/>
              <w:bottom w:val="single" w:sz="5" w:space="0" w:color="000000"/>
              <w:right w:val="single" w:sz="5" w:space="0" w:color="000000"/>
            </w:tcBorders>
            <w:shd w:val="clear" w:color="auto" w:fill="CFE2F3"/>
            <w:tcMar>
              <w:top w:w="0" w:type="dxa"/>
              <w:left w:w="100" w:type="dxa"/>
              <w:bottom w:w="0" w:type="dxa"/>
              <w:right w:w="100" w:type="dxa"/>
            </w:tcMar>
          </w:tcPr>
          <w:p w14:paraId="0E207A01"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Presented at the 2023 PNMA Plenary Session:</w:t>
            </w:r>
          </w:p>
        </w:tc>
        <w:tc>
          <w:tcPr>
            <w:tcW w:w="7313" w:type="dxa"/>
            <w:tcBorders>
              <w:top w:val="nil"/>
              <w:left w:val="nil"/>
              <w:bottom w:val="single" w:sz="5" w:space="0" w:color="000000"/>
              <w:right w:val="single" w:sz="5" w:space="0" w:color="000000"/>
            </w:tcBorders>
            <w:shd w:val="clear" w:color="auto" w:fill="CFE2F3"/>
            <w:tcMar>
              <w:top w:w="0" w:type="dxa"/>
              <w:left w:w="100" w:type="dxa"/>
              <w:bottom w:w="0" w:type="dxa"/>
              <w:right w:w="100" w:type="dxa"/>
            </w:tcMar>
          </w:tcPr>
          <w:p w14:paraId="0EF5423F"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Yes</w:t>
            </w:r>
          </w:p>
        </w:tc>
      </w:tr>
      <w:tr w:rsidR="007356D6" w14:paraId="475C258E" w14:textId="77777777">
        <w:trPr>
          <w:trHeight w:val="450"/>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A5860FE"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31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B8DBB6D"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Montana, New Mexico US, and Nigeria</w:t>
            </w:r>
          </w:p>
        </w:tc>
      </w:tr>
      <w:tr w:rsidR="007356D6" w14:paraId="4263170D" w14:textId="77777777">
        <w:trPr>
          <w:trHeight w:val="690"/>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5199413"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31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1526E6D"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Within the US, the Institute for Museum and Library Services. Within Nigeria, provision for free by Starlink for 2 years</w:t>
            </w:r>
          </w:p>
        </w:tc>
      </w:tr>
      <w:tr w:rsidR="007356D6" w14:paraId="39704FEF" w14:textId="77777777">
        <w:trPr>
          <w:trHeight w:val="690"/>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E782430"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31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1136CF"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Gigabit Libraries Network, State Libraries of Montana and New Mexico, African Library and Information Associations and Institutions</w:t>
            </w:r>
          </w:p>
        </w:tc>
      </w:tr>
      <w:tr w:rsidR="007356D6" w14:paraId="2CCD813E" w14:textId="77777777">
        <w:trPr>
          <w:trHeight w:val="3855"/>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4B74829"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31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58198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While libraries have a proven potential to support wider meaningful access goals through combining connectivity with an offer of devices, content and skills support, this is all dependent on having adequate connectivity themselves in the first place. This </w:t>
            </w:r>
            <w:r>
              <w:rPr>
                <w:rFonts w:ascii="Times New Roman" w:eastAsia="Times New Roman" w:hAnsi="Times New Roman" w:cs="Times New Roman"/>
                <w:sz w:val="20"/>
                <w:szCs w:val="20"/>
              </w:rPr>
              <w:t>is not always the case, with libraries in remote and rural areas often not sufficiently connected to be able to meet what are often significant needs. Using alternative connectivity technologies offers an exciting option to overcome the challenge of distan</w:t>
            </w:r>
            <w:r>
              <w:rPr>
                <w:rFonts w:ascii="Times New Roman" w:eastAsia="Times New Roman" w:hAnsi="Times New Roman" w:cs="Times New Roman"/>
                <w:sz w:val="20"/>
                <w:szCs w:val="20"/>
              </w:rPr>
              <w:t>ce.</w:t>
            </w:r>
          </w:p>
          <w:p w14:paraId="1CD8E2B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Is it a Rural / Urban setting? Rural, and in the case of New Mexico, on First Nations land.</w:t>
            </w:r>
          </w:p>
          <w:p w14:paraId="477EF5BA"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Is there a gender focus? Not explicitly, but it is generally seen that women tend to make more use of libraries than men</w:t>
            </w:r>
          </w:p>
          <w:p w14:paraId="6CA5B995"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What were the services provided, subsidies used, anything else worth sharing? Primarily, the offer is about unlocking the pre-existing potential of libraries to support meaningful access to and engagement with knowledge. Through this, there is the possib</w:t>
            </w:r>
            <w:r>
              <w:rPr>
                <w:rFonts w:ascii="Times New Roman" w:eastAsia="Times New Roman" w:hAnsi="Times New Roman" w:cs="Times New Roman"/>
                <w:sz w:val="20"/>
                <w:szCs w:val="20"/>
              </w:rPr>
              <w:t>ility in particular for children to do homework, and for adults to access benefits and other support.</w:t>
            </w:r>
          </w:p>
        </w:tc>
      </w:tr>
      <w:tr w:rsidR="007356D6" w14:paraId="009EE642" w14:textId="77777777">
        <w:trPr>
          <w:trHeight w:val="1170"/>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2E3E197"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31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B52554A"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primary work, led by the Gigabit Libraries Network, was to engage Starlink in order to open up the possibilities for libraries to access enterprise licences and through this provide access to users. Following this, the need was to ensure that the libra</w:t>
            </w:r>
            <w:r>
              <w:rPr>
                <w:rFonts w:ascii="Times New Roman" w:eastAsia="Times New Roman" w:hAnsi="Times New Roman" w:cs="Times New Roman"/>
                <w:sz w:val="20"/>
                <w:szCs w:val="20"/>
              </w:rPr>
              <w:t>ries could access and set up the relevant equipment, and then integrate this into the existing offer.</w:t>
            </w:r>
          </w:p>
        </w:tc>
      </w:tr>
      <w:tr w:rsidR="007356D6" w14:paraId="593BB2B1" w14:textId="77777777">
        <w:trPr>
          <w:trHeight w:val="2655"/>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AF41471"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Results / Impact / Lessons learned (what worked / remaining challenges)</w:t>
            </w:r>
          </w:p>
        </w:tc>
        <w:tc>
          <w:tcPr>
            <w:tcW w:w="731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C1222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Results: so far, four libraries have been connected in the United States, and plans are to connect five at least in Nigeria.</w:t>
            </w:r>
          </w:p>
          <w:p w14:paraId="7C48BF62"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Impact: the programme is still underway, but it appears that there has already been a significant uptick in use of libraries, a</w:t>
            </w:r>
            <w:r>
              <w:rPr>
                <w:rFonts w:ascii="Times New Roman" w:eastAsia="Times New Roman" w:hAnsi="Times New Roman" w:cs="Times New Roman"/>
                <w:sz w:val="20"/>
                <w:szCs w:val="20"/>
              </w:rPr>
              <w:t>nd positive anecdotal evidence from users of much strengthened ability to participate in learning.</w:t>
            </w:r>
          </w:p>
          <w:p w14:paraId="0DE304C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Lessons learned (what worked / remaining challenges): the model appears to work, at least at the scale of smaller rural and local libraries (where the need</w:t>
            </w:r>
            <w:r>
              <w:rPr>
                <w:rFonts w:ascii="Times New Roman" w:eastAsia="Times New Roman" w:hAnsi="Times New Roman" w:cs="Times New Roman"/>
                <w:sz w:val="20"/>
                <w:szCs w:val="20"/>
              </w:rPr>
              <w:t xml:space="preserve"> is greatest anyway). As it expands, it will be welcome to see how well this type of access scales, as well as to monitor to what extent it also motivates people to purchase home connectivity as well.</w:t>
            </w:r>
          </w:p>
        </w:tc>
      </w:tr>
      <w:tr w:rsidR="007356D6" w14:paraId="4158F3B5" w14:textId="77777777">
        <w:trPr>
          <w:trHeight w:val="469"/>
        </w:trPr>
        <w:tc>
          <w:tcPr>
            <w:tcW w:w="9636" w:type="dxa"/>
            <w:gridSpan w:val="2"/>
            <w:tcBorders>
              <w:bottom w:val="single" w:sz="8" w:space="0" w:color="000000"/>
            </w:tcBorders>
            <w:shd w:val="clear" w:color="auto" w:fill="CFE2F3"/>
            <w:tcMar>
              <w:top w:w="100" w:type="dxa"/>
              <w:left w:w="100" w:type="dxa"/>
              <w:bottom w:w="100" w:type="dxa"/>
              <w:right w:w="100" w:type="dxa"/>
            </w:tcMar>
          </w:tcPr>
          <w:p w14:paraId="62430D0F" w14:textId="77777777" w:rsidR="007356D6" w:rsidRDefault="00D7602D">
            <w:pPr>
              <w:spacing w:line="240" w:lineRule="auto"/>
              <w:jc w:val="center"/>
              <w:rPr>
                <w:b/>
                <w:highlight w:val="green"/>
              </w:rPr>
            </w:pPr>
            <w:r>
              <w:rPr>
                <w:b/>
              </w:rPr>
              <w:t xml:space="preserve">Follow-up on </w:t>
            </w:r>
            <w:r>
              <w:rPr>
                <w:b/>
                <w:highlight w:val="green"/>
              </w:rPr>
              <w:t>[write date]</w:t>
            </w:r>
          </w:p>
        </w:tc>
      </w:tr>
      <w:tr w:rsidR="007356D6" w14:paraId="0B24E17C" w14:textId="77777777">
        <w:trPr>
          <w:trHeight w:val="1295"/>
        </w:trPr>
        <w:tc>
          <w:tcPr>
            <w:tcW w:w="2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A38E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4C636"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5EF4765C" w14:textId="77777777">
        <w:trPr>
          <w:trHeight w:val="975"/>
        </w:trPr>
        <w:tc>
          <w:tcPr>
            <w:tcW w:w="2323" w:type="dxa"/>
            <w:tcBorders>
              <w:top w:val="single" w:sz="8"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0EAF9B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98BC8"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53B98BB" w14:textId="77777777">
        <w:trPr>
          <w:trHeight w:val="1155"/>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36D874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AAEAA"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172064F" w14:textId="77777777">
        <w:trPr>
          <w:trHeight w:val="1174"/>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A5F2A3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2F8D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45381A9" w14:textId="77777777">
        <w:trPr>
          <w:trHeight w:val="754"/>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E68DE3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2A653"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22124724" w14:textId="77777777">
        <w:trPr>
          <w:trHeight w:val="555"/>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2A2237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825E3"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6C499205" w14:textId="77777777">
        <w:trPr>
          <w:trHeight w:val="514"/>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23FE31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85108"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3C215C4" w14:textId="77777777">
        <w:trPr>
          <w:trHeight w:val="595"/>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D73BC28"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Next steps:</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62B90"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57C9F3F7"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A13CEB" w14:textId="77777777" w:rsidR="007356D6" w:rsidRDefault="007356D6">
      <w:pPr>
        <w:spacing w:after="240"/>
        <w:jc w:val="both"/>
        <w:rPr>
          <w:rFonts w:ascii="Times New Roman" w:eastAsia="Times New Roman" w:hAnsi="Times New Roman" w:cs="Times New Roman"/>
          <w:sz w:val="24"/>
          <w:szCs w:val="24"/>
        </w:rPr>
      </w:pPr>
    </w:p>
    <w:p w14:paraId="39AAFCAE" w14:textId="77777777" w:rsidR="007356D6" w:rsidRDefault="007356D6">
      <w:pPr>
        <w:spacing w:after="240"/>
        <w:jc w:val="both"/>
        <w:rPr>
          <w:rFonts w:ascii="Times New Roman" w:eastAsia="Times New Roman" w:hAnsi="Times New Roman" w:cs="Times New Roman"/>
          <w:sz w:val="24"/>
          <w:szCs w:val="24"/>
        </w:rPr>
      </w:pPr>
    </w:p>
    <w:p w14:paraId="6FAC7C0B" w14:textId="77777777" w:rsidR="007356D6" w:rsidRDefault="00D7602D">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2022 selected cases: </w:t>
      </w:r>
    </w:p>
    <w:p w14:paraId="471FB439" w14:textId="77777777" w:rsidR="007356D6" w:rsidRDefault="007356D6">
      <w:pPr>
        <w:spacing w:line="240" w:lineRule="auto"/>
        <w:rPr>
          <w:rFonts w:ascii="Times New Roman" w:eastAsia="Times New Roman" w:hAnsi="Times New Roman" w:cs="Times New Roman"/>
        </w:rPr>
      </w:pPr>
    </w:p>
    <w:tbl>
      <w:tblPr>
        <w:tblStyle w:val="a6"/>
        <w:tblW w:w="10180" w:type="dxa"/>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770"/>
      </w:tblGrid>
      <w:tr w:rsidR="007356D6" w14:paraId="28C708B5" w14:textId="77777777">
        <w:trPr>
          <w:trHeight w:val="420"/>
        </w:trPr>
        <w:tc>
          <w:tcPr>
            <w:tcW w:w="10180" w:type="dxa"/>
            <w:gridSpan w:val="2"/>
            <w:shd w:val="clear" w:color="auto" w:fill="CFE2F3"/>
            <w:tcMar>
              <w:top w:w="100" w:type="dxa"/>
              <w:left w:w="100" w:type="dxa"/>
              <w:bottom w:w="100" w:type="dxa"/>
              <w:right w:w="100" w:type="dxa"/>
            </w:tcMar>
          </w:tcPr>
          <w:p w14:paraId="2651BCDC" w14:textId="77777777" w:rsidR="007356D6" w:rsidRDefault="00D7602D">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2022 selected case</w:t>
            </w:r>
          </w:p>
        </w:tc>
      </w:tr>
      <w:tr w:rsidR="007356D6" w14:paraId="3E461F6F" w14:textId="77777777">
        <w:trPr>
          <w:trHeight w:val="420"/>
        </w:trPr>
        <w:tc>
          <w:tcPr>
            <w:tcW w:w="2410" w:type="dxa"/>
            <w:shd w:val="clear" w:color="auto" w:fill="CFE2F3"/>
            <w:tcMar>
              <w:top w:w="100" w:type="dxa"/>
              <w:left w:w="100" w:type="dxa"/>
              <w:bottom w:w="100" w:type="dxa"/>
              <w:right w:w="100" w:type="dxa"/>
            </w:tcMar>
          </w:tcPr>
          <w:p w14:paraId="76A5D7D9"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Case 1:</w:t>
            </w:r>
          </w:p>
        </w:tc>
        <w:tc>
          <w:tcPr>
            <w:tcW w:w="7770" w:type="dxa"/>
            <w:shd w:val="clear" w:color="auto" w:fill="CFE2F3"/>
            <w:tcMar>
              <w:top w:w="100" w:type="dxa"/>
              <w:left w:w="100" w:type="dxa"/>
              <w:bottom w:w="100" w:type="dxa"/>
              <w:right w:w="100" w:type="dxa"/>
            </w:tcMar>
          </w:tcPr>
          <w:p w14:paraId="5356A6B4" w14:textId="77777777" w:rsidR="007356D6" w:rsidRDefault="00D7602D">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Contribution of SMEs Business Associations to Develop Meaningful Connectivity</w:t>
            </w:r>
          </w:p>
        </w:tc>
      </w:tr>
      <w:tr w:rsidR="007356D6" w14:paraId="2FFB74E3" w14:textId="77777777">
        <w:trPr>
          <w:trHeight w:val="420"/>
        </w:trPr>
        <w:tc>
          <w:tcPr>
            <w:tcW w:w="2410" w:type="dxa"/>
            <w:shd w:val="clear" w:color="auto" w:fill="auto"/>
            <w:tcMar>
              <w:top w:w="100" w:type="dxa"/>
              <w:left w:w="100" w:type="dxa"/>
              <w:bottom w:w="100" w:type="dxa"/>
              <w:right w:w="100" w:type="dxa"/>
            </w:tcMar>
          </w:tcPr>
          <w:p w14:paraId="2330A936"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70" w:type="dxa"/>
            <w:shd w:val="clear" w:color="auto" w:fill="auto"/>
            <w:tcMar>
              <w:top w:w="100" w:type="dxa"/>
              <w:left w:w="100" w:type="dxa"/>
              <w:bottom w:w="100" w:type="dxa"/>
              <w:right w:w="100" w:type="dxa"/>
            </w:tcMar>
          </w:tcPr>
          <w:p w14:paraId="1CD845D3"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Georgia (isolated remote areas in highlands) - Eastern European Group</w:t>
            </w:r>
          </w:p>
        </w:tc>
      </w:tr>
      <w:tr w:rsidR="007356D6" w14:paraId="7961334C" w14:textId="77777777">
        <w:trPr>
          <w:trHeight w:val="469"/>
        </w:trPr>
        <w:tc>
          <w:tcPr>
            <w:tcW w:w="2410" w:type="dxa"/>
            <w:shd w:val="clear" w:color="auto" w:fill="auto"/>
            <w:tcMar>
              <w:top w:w="100" w:type="dxa"/>
              <w:left w:w="100" w:type="dxa"/>
              <w:bottom w:w="100" w:type="dxa"/>
              <w:right w:w="100" w:type="dxa"/>
            </w:tcMar>
          </w:tcPr>
          <w:p w14:paraId="5CBFFC02"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70" w:type="dxa"/>
            <w:shd w:val="clear" w:color="auto" w:fill="auto"/>
            <w:tcMar>
              <w:top w:w="100" w:type="dxa"/>
              <w:left w:w="100" w:type="dxa"/>
              <w:bottom w:w="100" w:type="dxa"/>
              <w:right w:w="100" w:type="dxa"/>
            </w:tcMar>
          </w:tcPr>
          <w:p w14:paraId="4C33C6DF"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5A456B13" w14:textId="77777777">
        <w:trPr>
          <w:trHeight w:val="420"/>
        </w:trPr>
        <w:tc>
          <w:tcPr>
            <w:tcW w:w="2410" w:type="dxa"/>
            <w:shd w:val="clear" w:color="auto" w:fill="auto"/>
            <w:tcMar>
              <w:top w:w="100" w:type="dxa"/>
              <w:left w:w="100" w:type="dxa"/>
              <w:bottom w:w="100" w:type="dxa"/>
              <w:right w:w="100" w:type="dxa"/>
            </w:tcMar>
          </w:tcPr>
          <w:p w14:paraId="20F9E618"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70" w:type="dxa"/>
            <w:shd w:val="clear" w:color="auto" w:fill="auto"/>
            <w:tcMar>
              <w:top w:w="100" w:type="dxa"/>
              <w:left w:w="100" w:type="dxa"/>
              <w:bottom w:w="100" w:type="dxa"/>
              <w:right w:w="100" w:type="dxa"/>
            </w:tcMar>
          </w:tcPr>
          <w:p w14:paraId="2DFCE762"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Telecom Operators Association of Georgia</w:t>
            </w:r>
          </w:p>
        </w:tc>
      </w:tr>
      <w:tr w:rsidR="007356D6" w14:paraId="66F8ACD3" w14:textId="77777777">
        <w:trPr>
          <w:trHeight w:val="420"/>
        </w:trPr>
        <w:tc>
          <w:tcPr>
            <w:tcW w:w="2410" w:type="dxa"/>
            <w:shd w:val="clear" w:color="auto" w:fill="auto"/>
            <w:tcMar>
              <w:top w:w="100" w:type="dxa"/>
              <w:left w:w="100" w:type="dxa"/>
              <w:bottom w:w="100" w:type="dxa"/>
              <w:right w:w="100" w:type="dxa"/>
            </w:tcMar>
          </w:tcPr>
          <w:p w14:paraId="342994E4"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70" w:type="dxa"/>
            <w:shd w:val="clear" w:color="auto" w:fill="auto"/>
            <w:tcMar>
              <w:top w:w="100" w:type="dxa"/>
              <w:left w:w="100" w:type="dxa"/>
              <w:bottom w:w="100" w:type="dxa"/>
              <w:right w:w="100" w:type="dxa"/>
            </w:tcMar>
          </w:tcPr>
          <w:p w14:paraId="3A41B244" w14:textId="77777777" w:rsidR="007356D6" w:rsidRDefault="00D7602D">
            <w:pPr>
              <w:widowControl w:val="0"/>
              <w:numPr>
                <w:ilvl w:val="0"/>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Lack of connectivity in isolated areas in highlands</w:t>
            </w:r>
          </w:p>
          <w:p w14:paraId="0560A077" w14:textId="77777777" w:rsidR="007356D6" w:rsidRDefault="00D7602D">
            <w:pPr>
              <w:widowControl w:val="0"/>
              <w:numPr>
                <w:ilvl w:val="0"/>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MSMEs and CN have to be regulated minimally and state will give the non-regulated areas the last mile ISPs of rural areas</w:t>
            </w:r>
          </w:p>
        </w:tc>
      </w:tr>
      <w:tr w:rsidR="007356D6" w14:paraId="5B6A2A49" w14:textId="77777777">
        <w:trPr>
          <w:trHeight w:val="420"/>
        </w:trPr>
        <w:tc>
          <w:tcPr>
            <w:tcW w:w="2410" w:type="dxa"/>
            <w:shd w:val="clear" w:color="auto" w:fill="auto"/>
            <w:tcMar>
              <w:top w:w="100" w:type="dxa"/>
              <w:left w:w="100" w:type="dxa"/>
              <w:bottom w:w="100" w:type="dxa"/>
              <w:right w:w="100" w:type="dxa"/>
            </w:tcMar>
          </w:tcPr>
          <w:p w14:paraId="6D0B124F"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70" w:type="dxa"/>
            <w:shd w:val="clear" w:color="auto" w:fill="auto"/>
            <w:tcMar>
              <w:top w:w="100" w:type="dxa"/>
              <w:left w:w="100" w:type="dxa"/>
              <w:bottom w:w="100" w:type="dxa"/>
              <w:right w:w="100" w:type="dxa"/>
            </w:tcMar>
          </w:tcPr>
          <w:p w14:paraId="5CCA63F9"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Usage of SME ISPs resources and lobbying advantages in negotiation to create and plan assistance, training, tech and legal support of the CN</w:t>
            </w:r>
          </w:p>
        </w:tc>
      </w:tr>
      <w:tr w:rsidR="007356D6" w14:paraId="1B4479CD" w14:textId="77777777">
        <w:trPr>
          <w:trHeight w:val="420"/>
        </w:trPr>
        <w:tc>
          <w:tcPr>
            <w:tcW w:w="2410" w:type="dxa"/>
            <w:shd w:val="clear" w:color="auto" w:fill="auto"/>
            <w:tcMar>
              <w:top w:w="100" w:type="dxa"/>
              <w:left w:w="100" w:type="dxa"/>
              <w:bottom w:w="100" w:type="dxa"/>
              <w:right w:w="100" w:type="dxa"/>
            </w:tcMar>
          </w:tcPr>
          <w:p w14:paraId="12E522C4"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w:t>
            </w:r>
            <w:r>
              <w:rPr>
                <w:rFonts w:ascii="Times New Roman" w:eastAsia="Times New Roman" w:hAnsi="Times New Roman" w:cs="Times New Roman"/>
                <w:b/>
                <w:sz w:val="20"/>
                <w:szCs w:val="20"/>
              </w:rPr>
              <w:t>g challenges)</w:t>
            </w:r>
          </w:p>
        </w:tc>
        <w:tc>
          <w:tcPr>
            <w:tcW w:w="7770" w:type="dxa"/>
            <w:shd w:val="clear" w:color="auto" w:fill="auto"/>
            <w:tcMar>
              <w:top w:w="100" w:type="dxa"/>
              <w:left w:w="100" w:type="dxa"/>
              <w:bottom w:w="100" w:type="dxa"/>
              <w:right w:w="100" w:type="dxa"/>
            </w:tcMar>
          </w:tcPr>
          <w:p w14:paraId="7B73706C"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16ACDA6B"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After 2 years: traffic has doubled, there are new users and new settlements, new businesses</w:t>
            </w:r>
          </w:p>
          <w:p w14:paraId="00440607"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 the last 7 years: establishment of community network projects with support and mentorship of internet champions (e.g., Jane Coffin, Maarit Palovirta, Massimiliano Stucchi) and trisectoral participation (state, private actors, NGOs)</w:t>
            </w:r>
          </w:p>
          <w:p w14:paraId="4CA7F523"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 all local SM</w:t>
            </w:r>
            <w:r>
              <w:rPr>
                <w:rFonts w:ascii="Times New Roman" w:eastAsia="Times New Roman" w:hAnsi="Times New Roman" w:cs="Times New Roman"/>
                <w:sz w:val="20"/>
                <w:szCs w:val="20"/>
              </w:rPr>
              <w:t>E businesses are online and are bookable digitally; education and all local state services are accessible online and remotely.</w:t>
            </w:r>
          </w:p>
          <w:p w14:paraId="62741B34"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learned: after working with a state and regulatory body the CN model is now part of a public strategy to provide connecti</w:t>
            </w:r>
            <w:r>
              <w:rPr>
                <w:rFonts w:ascii="Times New Roman" w:eastAsia="Times New Roman" w:hAnsi="Times New Roman" w:cs="Times New Roman"/>
                <w:sz w:val="20"/>
                <w:szCs w:val="20"/>
              </w:rPr>
              <w:t>vity to remote areas; the state is ready to be a donor to these projects as it was done in the pilot region of Pshav-Khevsureti.</w:t>
            </w:r>
          </w:p>
        </w:tc>
      </w:tr>
      <w:tr w:rsidR="007356D6" w14:paraId="2BD0FAD8" w14:textId="77777777">
        <w:trPr>
          <w:trHeight w:val="420"/>
        </w:trPr>
        <w:tc>
          <w:tcPr>
            <w:tcW w:w="10180"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2D017422" w14:textId="77777777" w:rsidR="007356D6" w:rsidRDefault="00D7602D">
            <w:pPr>
              <w:spacing w:before="240" w:after="240"/>
              <w:ind w:left="-100"/>
              <w:jc w:val="center"/>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2023 Follow-up</w:t>
            </w:r>
          </w:p>
        </w:tc>
      </w:tr>
      <w:tr w:rsidR="007356D6" w14:paraId="6D2D988C"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B33F6A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38B2C41"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challenge of business model and economics sustainability is a case for almost all CNs, same in Pshavi-Khevsureti network at times (due to heavy snow, lightening, cheap hardware etc). An additional challenge was a dark fibre cable installed two years ago </w:t>
            </w:r>
            <w:r>
              <w:rPr>
                <w:rFonts w:ascii="Times New Roman" w:eastAsia="Times New Roman" w:hAnsi="Times New Roman" w:cs="Times New Roman"/>
                <w:sz w:val="20"/>
                <w:szCs w:val="20"/>
              </w:rPr>
              <w:t xml:space="preserve">- it changed network </w:t>
            </w:r>
            <w:r>
              <w:rPr>
                <w:rFonts w:ascii="Times New Roman" w:eastAsia="Times New Roman" w:hAnsi="Times New Roman" w:cs="Times New Roman"/>
                <w:sz w:val="20"/>
                <w:szCs w:val="20"/>
              </w:rPr>
              <w:lastRenderedPageBreak/>
              <w:t>performance and sustainability but added a few challenge. To solve funding problems, we raise the monthly fee but for operational expenses we add money from our personal salaries.</w:t>
            </w:r>
          </w:p>
        </w:tc>
      </w:tr>
      <w:tr w:rsidR="007356D6" w14:paraId="6C2ACA65"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942120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Did any new problems emerge during implementation?</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6BA17AB"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 implementation level we did not meet any serious problems just small issues and were solved easily.</w:t>
            </w:r>
          </w:p>
        </w:tc>
      </w:tr>
      <w:tr w:rsidR="007356D6" w14:paraId="272047B0"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0A3654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7710D83"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is a technical network so when you are using solar power and</w:t>
            </w:r>
            <w:r>
              <w:rPr>
                <w:rFonts w:ascii="Times New Roman" w:eastAsia="Times New Roman" w:hAnsi="Times New Roman" w:cs="Times New Roman"/>
                <w:sz w:val="20"/>
                <w:szCs w:val="20"/>
              </w:rPr>
              <w:t xml:space="preserve"> batteries issues are just adding, The network capacity has to be made bigger because of the end-user and network performance data is increasing and demand is rising so challenges are much more than a year ago. The radio network amortization period is not </w:t>
            </w:r>
            <w:r>
              <w:rPr>
                <w:rFonts w:ascii="Times New Roman" w:eastAsia="Times New Roman" w:hAnsi="Times New Roman" w:cs="Times New Roman"/>
                <w:sz w:val="20"/>
                <w:szCs w:val="20"/>
              </w:rPr>
              <w:t>huge so this issues are also rising.</w:t>
            </w:r>
          </w:p>
        </w:tc>
      </w:tr>
      <w:tr w:rsidR="007356D6" w14:paraId="710AB5DB"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C6AF06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D953B24"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Our experience with solar panels, charge controllers and batteries were shared with SME's of Georgia.</w:t>
            </w:r>
          </w:p>
        </w:tc>
      </w:tr>
      <w:tr w:rsidR="007356D6" w14:paraId="1D8C6EB0"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2EF945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C1A71CB"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can say fibr</w:t>
            </w:r>
            <w:r>
              <w:rPr>
                <w:rFonts w:ascii="Times New Roman" w:eastAsia="Times New Roman" w:hAnsi="Times New Roman" w:cs="Times New Roman"/>
                <w:sz w:val="20"/>
                <w:szCs w:val="20"/>
              </w:rPr>
              <w:t>e optics operational challenges are related with heavy snow and landslides. This two issues take too much time and money - we mean restoration.</w:t>
            </w:r>
          </w:p>
        </w:tc>
      </w:tr>
      <w:tr w:rsidR="007356D6" w14:paraId="55685859"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F7F05D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70EFF63"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Georgian Parliament started creation of white paper on universal funding so it could be useful for CN funding, but we did not see any draft yet. The middle mile project - open net is almost finished so will be solved first and middle mile challenge and rep</w:t>
            </w:r>
            <w:r>
              <w:rPr>
                <w:rFonts w:ascii="Times New Roman" w:eastAsia="Times New Roman" w:hAnsi="Times New Roman" w:cs="Times New Roman"/>
                <w:sz w:val="20"/>
                <w:szCs w:val="20"/>
              </w:rPr>
              <w:t>layed in many areas.</w:t>
            </w:r>
          </w:p>
        </w:tc>
      </w:tr>
      <w:tr w:rsidR="007356D6" w14:paraId="5DC0F8A0"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F1230F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7EC4287"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if you are using cheap solar panels and batteries will find after two-three years that you have to buy new ones and installations.</w:t>
            </w:r>
          </w:p>
        </w:tc>
      </w:tr>
      <w:tr w:rsidR="007356D6" w14:paraId="075009CC"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F0F0C2F"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F533CCC"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want to cover other isolated region but looking forward for additional funding at least 40% for all budget.</w:t>
            </w:r>
          </w:p>
        </w:tc>
      </w:tr>
      <w:tr w:rsidR="007356D6" w14:paraId="70FD1504" w14:textId="77777777">
        <w:trPr>
          <w:trHeight w:val="420"/>
        </w:trPr>
        <w:tc>
          <w:tcPr>
            <w:tcW w:w="10180"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2494869E" w14:textId="77777777" w:rsidR="007356D6" w:rsidRDefault="00D7602D">
            <w:pPr>
              <w:spacing w:before="240" w:after="240"/>
              <w:ind w:left="-100"/>
              <w:jc w:val="center"/>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2024 Follow-up</w:t>
            </w:r>
          </w:p>
        </w:tc>
      </w:tr>
      <w:tr w:rsidR="007356D6" w14:paraId="0FCF369B"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81C2E7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C2E85C9" w14:textId="77777777" w:rsidR="007356D6" w:rsidRDefault="007356D6">
            <w:pPr>
              <w:widowControl w:val="0"/>
              <w:spacing w:before="240" w:after="240"/>
              <w:ind w:left="-100"/>
              <w:jc w:val="both"/>
              <w:rPr>
                <w:rFonts w:ascii="Times New Roman" w:eastAsia="Times New Roman" w:hAnsi="Times New Roman" w:cs="Times New Roman"/>
                <w:sz w:val="20"/>
                <w:szCs w:val="20"/>
              </w:rPr>
            </w:pPr>
          </w:p>
        </w:tc>
      </w:tr>
      <w:tr w:rsidR="007356D6" w14:paraId="77A508C8"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B6E8FD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Did any new problems emerge during </w:t>
            </w:r>
            <w:r>
              <w:rPr>
                <w:rFonts w:ascii="Times New Roman" w:eastAsia="Times New Roman" w:hAnsi="Times New Roman" w:cs="Times New Roman"/>
                <w:b/>
                <w:sz w:val="20"/>
                <w:szCs w:val="20"/>
              </w:rPr>
              <w:lastRenderedPageBreak/>
              <w:t>implementation?</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B90A8B4" w14:textId="77777777" w:rsidR="007356D6" w:rsidRDefault="007356D6">
            <w:pPr>
              <w:widowControl w:val="0"/>
              <w:spacing w:before="240" w:after="240"/>
              <w:ind w:left="-100"/>
              <w:jc w:val="both"/>
              <w:rPr>
                <w:rFonts w:ascii="Times New Roman" w:eastAsia="Times New Roman" w:hAnsi="Times New Roman" w:cs="Times New Roman"/>
                <w:sz w:val="20"/>
                <w:szCs w:val="20"/>
              </w:rPr>
            </w:pPr>
          </w:p>
        </w:tc>
      </w:tr>
      <w:tr w:rsidR="007356D6" w14:paraId="30D460CC"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14EE98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B629AAB" w14:textId="77777777" w:rsidR="007356D6" w:rsidRDefault="007356D6">
            <w:pPr>
              <w:widowControl w:val="0"/>
              <w:spacing w:before="240" w:after="240"/>
              <w:ind w:left="-100"/>
              <w:jc w:val="both"/>
              <w:rPr>
                <w:rFonts w:ascii="Times New Roman" w:eastAsia="Times New Roman" w:hAnsi="Times New Roman" w:cs="Times New Roman"/>
                <w:sz w:val="20"/>
                <w:szCs w:val="20"/>
              </w:rPr>
            </w:pPr>
          </w:p>
        </w:tc>
      </w:tr>
      <w:tr w:rsidR="007356D6" w14:paraId="5702D931"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E92414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BE04D51" w14:textId="77777777" w:rsidR="007356D6" w:rsidRDefault="007356D6">
            <w:pPr>
              <w:widowControl w:val="0"/>
              <w:spacing w:before="240" w:after="240"/>
              <w:ind w:left="-100"/>
              <w:jc w:val="both"/>
              <w:rPr>
                <w:rFonts w:ascii="Times New Roman" w:eastAsia="Times New Roman" w:hAnsi="Times New Roman" w:cs="Times New Roman"/>
                <w:sz w:val="20"/>
                <w:szCs w:val="20"/>
              </w:rPr>
            </w:pPr>
          </w:p>
        </w:tc>
      </w:tr>
      <w:tr w:rsidR="007356D6" w14:paraId="04039C42"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353128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4FB9EB0" w14:textId="77777777" w:rsidR="007356D6" w:rsidRDefault="007356D6">
            <w:pPr>
              <w:widowControl w:val="0"/>
              <w:spacing w:before="240" w:after="240"/>
              <w:ind w:left="-100"/>
              <w:jc w:val="both"/>
              <w:rPr>
                <w:rFonts w:ascii="Times New Roman" w:eastAsia="Times New Roman" w:hAnsi="Times New Roman" w:cs="Times New Roman"/>
                <w:sz w:val="20"/>
                <w:szCs w:val="20"/>
              </w:rPr>
            </w:pPr>
          </w:p>
        </w:tc>
      </w:tr>
      <w:tr w:rsidR="007356D6" w14:paraId="291518F5"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98E4D0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32E7A43" w14:textId="77777777" w:rsidR="007356D6" w:rsidRDefault="007356D6">
            <w:pPr>
              <w:widowControl w:val="0"/>
              <w:spacing w:before="240" w:after="240"/>
              <w:ind w:left="-100"/>
              <w:jc w:val="both"/>
              <w:rPr>
                <w:rFonts w:ascii="Times New Roman" w:eastAsia="Times New Roman" w:hAnsi="Times New Roman" w:cs="Times New Roman"/>
                <w:sz w:val="20"/>
                <w:szCs w:val="20"/>
              </w:rPr>
            </w:pPr>
          </w:p>
        </w:tc>
      </w:tr>
      <w:tr w:rsidR="007356D6" w14:paraId="030583B8"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96B46D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388D2A3" w14:textId="77777777" w:rsidR="007356D6" w:rsidRDefault="007356D6">
            <w:pPr>
              <w:widowControl w:val="0"/>
              <w:spacing w:before="240" w:after="240"/>
              <w:ind w:left="-100"/>
              <w:jc w:val="both"/>
              <w:rPr>
                <w:rFonts w:ascii="Times New Roman" w:eastAsia="Times New Roman" w:hAnsi="Times New Roman" w:cs="Times New Roman"/>
                <w:sz w:val="20"/>
                <w:szCs w:val="20"/>
              </w:rPr>
            </w:pPr>
          </w:p>
        </w:tc>
      </w:tr>
      <w:tr w:rsidR="007356D6" w14:paraId="2A1653C7"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59AEEC8"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3C72655" w14:textId="77777777" w:rsidR="007356D6" w:rsidRDefault="007356D6">
            <w:pPr>
              <w:spacing w:before="240" w:after="240"/>
              <w:ind w:left="-100"/>
              <w:jc w:val="both"/>
              <w:rPr>
                <w:rFonts w:ascii="Times New Roman" w:eastAsia="Times New Roman" w:hAnsi="Times New Roman" w:cs="Times New Roman"/>
                <w:sz w:val="20"/>
                <w:szCs w:val="20"/>
              </w:rPr>
            </w:pPr>
          </w:p>
        </w:tc>
      </w:tr>
    </w:tbl>
    <w:p w14:paraId="3598B9C5" w14:textId="77777777" w:rsidR="007356D6" w:rsidRDefault="007356D6">
      <w:pPr>
        <w:spacing w:line="240" w:lineRule="auto"/>
        <w:rPr>
          <w:rFonts w:ascii="Times New Roman" w:eastAsia="Times New Roman" w:hAnsi="Times New Roman" w:cs="Times New Roman"/>
          <w:sz w:val="20"/>
          <w:szCs w:val="20"/>
        </w:rPr>
      </w:pPr>
    </w:p>
    <w:p w14:paraId="3F1B8CCD" w14:textId="77777777" w:rsidR="007356D6" w:rsidRDefault="007356D6">
      <w:pPr>
        <w:spacing w:line="240" w:lineRule="auto"/>
        <w:rPr>
          <w:rFonts w:ascii="Times New Roman" w:eastAsia="Times New Roman" w:hAnsi="Times New Roman" w:cs="Times New Roman"/>
          <w:sz w:val="20"/>
          <w:szCs w:val="20"/>
        </w:rPr>
      </w:pPr>
    </w:p>
    <w:p w14:paraId="1EF5688B" w14:textId="77777777" w:rsidR="007356D6" w:rsidRDefault="00D7602D">
      <w:pPr>
        <w:spacing w:line="240" w:lineRule="auto"/>
        <w:rPr>
          <w:rFonts w:ascii="Times New Roman" w:eastAsia="Times New Roman" w:hAnsi="Times New Roman" w:cs="Times New Roman"/>
          <w:sz w:val="20"/>
          <w:szCs w:val="20"/>
        </w:rPr>
      </w:pPr>
      <w:r>
        <w:br w:type="page"/>
      </w:r>
    </w:p>
    <w:p w14:paraId="47B86EB1" w14:textId="77777777" w:rsidR="007356D6" w:rsidRDefault="007356D6">
      <w:pPr>
        <w:spacing w:line="240" w:lineRule="auto"/>
        <w:rPr>
          <w:rFonts w:ascii="Times New Roman" w:eastAsia="Times New Roman" w:hAnsi="Times New Roman" w:cs="Times New Roman"/>
        </w:rPr>
      </w:pPr>
    </w:p>
    <w:p w14:paraId="097B601C" w14:textId="77777777" w:rsidR="007356D6" w:rsidRDefault="007356D6">
      <w:pPr>
        <w:spacing w:line="240" w:lineRule="auto"/>
        <w:rPr>
          <w:rFonts w:ascii="Times New Roman" w:eastAsia="Times New Roman" w:hAnsi="Times New Roman" w:cs="Times New Roman"/>
        </w:rPr>
      </w:pPr>
    </w:p>
    <w:tbl>
      <w:tblPr>
        <w:tblStyle w:val="a7"/>
        <w:tblpPr w:leftFromText="180" w:rightFromText="180" w:topFromText="180" w:bottomFromText="180" w:vertAnchor="text"/>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4733B545" w14:textId="77777777">
        <w:trPr>
          <w:trHeight w:val="420"/>
        </w:trPr>
        <w:tc>
          <w:tcPr>
            <w:tcW w:w="2391" w:type="dxa"/>
            <w:shd w:val="clear" w:color="auto" w:fill="CFE2F3"/>
          </w:tcPr>
          <w:p w14:paraId="5D22C38C"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Case 2:</w:t>
            </w:r>
          </w:p>
        </w:tc>
        <w:tc>
          <w:tcPr>
            <w:tcW w:w="7749" w:type="dxa"/>
            <w:shd w:val="clear" w:color="auto" w:fill="CFE2F3"/>
          </w:tcPr>
          <w:p w14:paraId="19B4C69A" w14:textId="77777777" w:rsidR="007356D6" w:rsidRDefault="00D7602D">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Alternative model for closing the connectivity gap in rural areas of developing countries based on multi-stakeholder initiatives for development</w:t>
            </w:r>
          </w:p>
        </w:tc>
      </w:tr>
      <w:tr w:rsidR="007356D6" w14:paraId="3157864E" w14:textId="77777777">
        <w:trPr>
          <w:trHeight w:val="420"/>
        </w:trPr>
        <w:tc>
          <w:tcPr>
            <w:tcW w:w="2391" w:type="dxa"/>
          </w:tcPr>
          <w:p w14:paraId="25BE022B"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9" w:type="dxa"/>
          </w:tcPr>
          <w:p w14:paraId="0565E6E5"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Peru, Province of Condorcanqui (Amazonas Region) - Latin American and the Caribbean Group (GRULAC)</w:t>
            </w:r>
          </w:p>
        </w:tc>
      </w:tr>
      <w:tr w:rsidR="007356D6" w14:paraId="7E39FF7B" w14:textId="77777777">
        <w:trPr>
          <w:trHeight w:val="1117"/>
        </w:trPr>
        <w:tc>
          <w:tcPr>
            <w:tcW w:w="2391" w:type="dxa"/>
          </w:tcPr>
          <w:p w14:paraId="05C83123"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9" w:type="dxa"/>
          </w:tcPr>
          <w:p w14:paraId="6C11B42C"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Spanish Cooperation, on a multi-stakeholder nature - monetary contributions from the Binational Plan, the Regional Government and the Municipality </w:t>
            </w:r>
            <w:r>
              <w:rPr>
                <w:rFonts w:ascii="Times New Roman" w:eastAsia="Times New Roman" w:hAnsi="Times New Roman" w:cs="Times New Roman"/>
                <w:sz w:val="20"/>
                <w:szCs w:val="20"/>
              </w:rPr>
              <w:t>of Condorcanqui; non-monetary contributions from other institutions, including Catholic University of Peru.</w:t>
            </w:r>
          </w:p>
        </w:tc>
      </w:tr>
      <w:tr w:rsidR="007356D6" w14:paraId="625E54E5" w14:textId="77777777">
        <w:trPr>
          <w:trHeight w:val="420"/>
        </w:trPr>
        <w:tc>
          <w:tcPr>
            <w:tcW w:w="2391" w:type="dxa"/>
          </w:tcPr>
          <w:p w14:paraId="120B097F"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9" w:type="dxa"/>
          </w:tcPr>
          <w:p w14:paraId="4C7811B2"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Lead: Peruvian Government</w:t>
            </w:r>
          </w:p>
          <w:p w14:paraId="354BBB39"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Pontificia Universidad Católica del Perú</w:t>
            </w:r>
          </w:p>
          <w:p w14:paraId="355A4037"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Several public and private institutions, including the Provincial Municipality, the Regional Government, and universities</w:t>
            </w:r>
          </w:p>
        </w:tc>
      </w:tr>
      <w:tr w:rsidR="007356D6" w14:paraId="2654F5CE" w14:textId="77777777">
        <w:trPr>
          <w:trHeight w:val="420"/>
        </w:trPr>
        <w:tc>
          <w:tcPr>
            <w:tcW w:w="2391" w:type="dxa"/>
          </w:tcPr>
          <w:p w14:paraId="57EBCA01"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9" w:type="dxa"/>
          </w:tcPr>
          <w:p w14:paraId="0BB16906" w14:textId="77777777" w:rsidR="007356D6" w:rsidRDefault="00D7602D">
            <w:pPr>
              <w:widowControl w:val="0"/>
              <w:numPr>
                <w:ilvl w:val="0"/>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Connectivity gaps in rural, remote areas of developing countries</w:t>
            </w:r>
          </w:p>
          <w:p w14:paraId="3016CACC" w14:textId="77777777" w:rsidR="007356D6" w:rsidRDefault="00D7602D">
            <w:pPr>
              <w:numPr>
                <w:ilvl w:val="0"/>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Specifics:</w:t>
            </w:r>
          </w:p>
          <w:p w14:paraId="756EAFC0" w14:textId="77777777" w:rsidR="007356D6" w:rsidRDefault="00D7602D">
            <w:pPr>
              <w:widowControl w:val="0"/>
              <w:numPr>
                <w:ilvl w:val="1"/>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pilot localities have no broadband internet access services and only two of them have 2G mobile telephone service.</w:t>
            </w:r>
          </w:p>
          <w:p w14:paraId="32594912" w14:textId="77777777" w:rsidR="007356D6" w:rsidRDefault="00D7602D">
            <w:pPr>
              <w:numPr>
                <w:ilvl w:val="1"/>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Served population is almost entirely made up of natives belonging to the Awajun and Wampis ethnic groups</w:t>
            </w:r>
          </w:p>
        </w:tc>
      </w:tr>
      <w:tr w:rsidR="007356D6" w14:paraId="132FEE1A" w14:textId="77777777">
        <w:trPr>
          <w:trHeight w:val="420"/>
        </w:trPr>
        <w:tc>
          <w:tcPr>
            <w:tcW w:w="2391" w:type="dxa"/>
          </w:tcPr>
          <w:p w14:paraId="2466B781"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w:t>
            </w:r>
            <w:r>
              <w:rPr>
                <w:rFonts w:ascii="Times New Roman" w:eastAsia="Times New Roman" w:hAnsi="Times New Roman" w:cs="Times New Roman"/>
                <w:b/>
                <w:sz w:val="20"/>
                <w:szCs w:val="20"/>
              </w:rPr>
              <w:t xml:space="preserve"> address the problem(s)?</w:t>
            </w:r>
          </w:p>
        </w:tc>
        <w:tc>
          <w:tcPr>
            <w:tcW w:w="7749" w:type="dxa"/>
          </w:tcPr>
          <w:p w14:paraId="139A9746"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Implementation of a series of telecommunications stations that function as repeaters. Between them, two free-band wireless links are established as backhaul. In each locality, wireless links are established from the repeater station to the public instituti</w:t>
            </w:r>
            <w:r>
              <w:rPr>
                <w:rFonts w:ascii="Times New Roman" w:eastAsia="Times New Roman" w:hAnsi="Times New Roman" w:cs="Times New Roman"/>
                <w:sz w:val="20"/>
                <w:szCs w:val="20"/>
              </w:rPr>
              <w:t>ons; through this network, the highest public entities in the area are able to purchase and share the broadband Internet access service with rural institutions.</w:t>
            </w:r>
          </w:p>
          <w:p w14:paraId="2CAA0FE1" w14:textId="77777777" w:rsidR="007356D6" w:rsidRDefault="00D7602D">
            <w:pPr>
              <w:widowControl w:val="0"/>
              <w:numPr>
                <w:ilvl w:val="0"/>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actions are carried out within the framework of the Multi-stakeholder Alliance for the Deve</w:t>
            </w:r>
            <w:r>
              <w:rPr>
                <w:rFonts w:ascii="Times New Roman" w:eastAsia="Times New Roman" w:hAnsi="Times New Roman" w:cs="Times New Roman"/>
                <w:sz w:val="20"/>
                <w:szCs w:val="20"/>
              </w:rPr>
              <w:t>lopment of Reliable Digital Territories</w:t>
            </w:r>
          </w:p>
        </w:tc>
      </w:tr>
      <w:tr w:rsidR="007356D6" w14:paraId="6DD151E0" w14:textId="77777777">
        <w:trPr>
          <w:trHeight w:val="420"/>
        </w:trPr>
        <w:tc>
          <w:tcPr>
            <w:tcW w:w="10140" w:type="dxa"/>
            <w:gridSpan w:val="2"/>
            <w:tcBorders>
              <w:top w:val="single" w:sz="5" w:space="0" w:color="000000"/>
              <w:left w:val="single" w:sz="5" w:space="0" w:color="000000"/>
              <w:bottom w:val="single" w:sz="5" w:space="0" w:color="000000"/>
              <w:right w:val="single" w:sz="5" w:space="0" w:color="000000"/>
            </w:tcBorders>
            <w:shd w:val="clear" w:color="auto" w:fill="CFE2F3"/>
            <w:tcMar>
              <w:top w:w="0" w:type="dxa"/>
              <w:left w:w="100" w:type="dxa"/>
              <w:bottom w:w="0" w:type="dxa"/>
              <w:right w:w="100" w:type="dxa"/>
            </w:tcMar>
          </w:tcPr>
          <w:p w14:paraId="30CE1A3D" w14:textId="77777777" w:rsidR="007356D6" w:rsidRDefault="00D7602D">
            <w:pPr>
              <w:widowControl w:val="0"/>
              <w:spacing w:before="380" w:after="380"/>
              <w:ind w:left="140" w:right="1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w:t>
            </w:r>
          </w:p>
        </w:tc>
      </w:tr>
      <w:tr w:rsidR="007356D6" w14:paraId="3CEE7A1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23EF5AA"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6334D5"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Partially; although local public institutions already have Internet access, the possibility of a mobile operator participating in the project to provide 4G services in these localities is still being coordinated and evaluated.</w:t>
            </w:r>
          </w:p>
        </w:tc>
      </w:tr>
      <w:tr w:rsidR="007356D6" w14:paraId="79B13A2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3CE8C5D"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EB949E"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new problems have emerged during project implementation.</w:t>
            </w:r>
          </w:p>
        </w:tc>
      </w:tr>
      <w:tr w:rsidR="007356D6" w14:paraId="28C0AD4E"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F10D252"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6159D8"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Considering that technology evolves very quickly, it is p</w:t>
            </w:r>
            <w:r>
              <w:rPr>
                <w:rFonts w:ascii="Times New Roman" w:eastAsia="Times New Roman" w:hAnsi="Times New Roman" w:cs="Times New Roman"/>
                <w:sz w:val="20"/>
                <w:szCs w:val="20"/>
              </w:rPr>
              <w:t xml:space="preserve">ossible to state that, although the solution is still applicable today, PUCP and EHAS are still working to identify potential improvements or new alternative solutions. In this way, LEO satellite systems, for example, could be an option we want to test in </w:t>
            </w:r>
            <w:r>
              <w:rPr>
                <w:rFonts w:ascii="Times New Roman" w:eastAsia="Times New Roman" w:hAnsi="Times New Roman" w:cs="Times New Roman"/>
                <w:sz w:val="20"/>
                <w:szCs w:val="20"/>
              </w:rPr>
              <w:t>the near future.</w:t>
            </w:r>
          </w:p>
        </w:tc>
      </w:tr>
      <w:tr w:rsidR="007356D6" w14:paraId="3CBC7CBA"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2C54A27"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Was the solution scaled or localised to other regions? If so, please share examples</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BA7236"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initiative is being implemented in</w:t>
            </w:r>
            <w:hyperlink r:id="rId24">
              <w:r>
                <w:rPr>
                  <w:rFonts w:ascii="Times New Roman" w:eastAsia="Times New Roman" w:hAnsi="Times New Roman" w:cs="Times New Roman"/>
                  <w:sz w:val="20"/>
                  <w:szCs w:val="20"/>
                </w:rPr>
                <w:t xml:space="preserve"> </w:t>
              </w:r>
            </w:hyperlink>
            <w:hyperlink r:id="rId25">
              <w:r>
                <w:rPr>
                  <w:rFonts w:ascii="Times New Roman" w:eastAsia="Times New Roman" w:hAnsi="Times New Roman" w:cs="Times New Roman"/>
                  <w:color w:val="1155CC"/>
                  <w:sz w:val="20"/>
                  <w:szCs w:val="20"/>
                  <w:u w:val="single"/>
                </w:rPr>
                <w:t>other regions</w:t>
              </w:r>
            </w:hyperlink>
            <w:r>
              <w:rPr>
                <w:rFonts w:ascii="Times New Roman" w:eastAsia="Times New Roman" w:hAnsi="Times New Roman" w:cs="Times New Roman"/>
                <w:sz w:val="20"/>
                <w:szCs w:val="20"/>
              </w:rPr>
              <w:t xml:space="preserve"> of the country. As part of these activities, coordination is underway to replicate the connectivity project in those places.</w:t>
            </w:r>
          </w:p>
        </w:tc>
      </w:tr>
      <w:tr w:rsidR="007356D6" w14:paraId="0189835A"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609C6C3"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1ADC7D"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Between June and July, PUCP and EHAS have installed tele-education and telemedicine stations in 10 schools and 5 health facilities, respectively in the Santiago river basin.</w:t>
            </w:r>
          </w:p>
        </w:tc>
      </w:tr>
      <w:tr w:rsidR="007356D6" w14:paraId="2EEF930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380C24E"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AADD10"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change of authorities in the regional government of Amazonas </w:t>
            </w:r>
            <w:r>
              <w:rPr>
                <w:rFonts w:ascii="Times New Roman" w:eastAsia="Times New Roman" w:hAnsi="Times New Roman" w:cs="Times New Roman"/>
                <w:sz w:val="20"/>
                <w:szCs w:val="20"/>
              </w:rPr>
              <w:t>(via the electoral process) has been a challenge for the continuity of the project because there was a possibility that these new authorities would not continue the collaboration with the Multi-Stakeholder Alliance and the Project. However, after a process</w:t>
            </w:r>
            <w:r>
              <w:rPr>
                <w:rFonts w:ascii="Times New Roman" w:eastAsia="Times New Roman" w:hAnsi="Times New Roman" w:cs="Times New Roman"/>
                <w:sz w:val="20"/>
                <w:szCs w:val="20"/>
              </w:rPr>
              <w:t xml:space="preserve"> of coordination and information sharing, the new authorities have not only continued with the support but are also evaluating financing of the second stage of the project.</w:t>
            </w:r>
          </w:p>
        </w:tc>
      </w:tr>
      <w:tr w:rsidR="007356D6" w14:paraId="2AE88E0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7E85E64"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79FCEA"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Unfortunately, the lack of institutional framework in the regiona</w:t>
            </w:r>
            <w:r>
              <w:rPr>
                <w:rFonts w:ascii="Times New Roman" w:eastAsia="Times New Roman" w:hAnsi="Times New Roman" w:cs="Times New Roman"/>
                <w:sz w:val="20"/>
                <w:szCs w:val="20"/>
              </w:rPr>
              <w:t>l and municipal governments makes it necessary to maintain a permanent and exhaustive coordination and awareness-raising effort with these institutions to ensure the continuity of the policies and activities committed to the project.</w:t>
            </w:r>
          </w:p>
        </w:tc>
      </w:tr>
      <w:tr w:rsidR="007356D6" w14:paraId="6588E47E"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69C6C8B"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FCE278"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implement telemedicine and tele-education services; to secure the participation of a mobile telephone operator to provide services in the localities benefiting from the Project; and to formalise the approval of the second stage of the project, which inc</w:t>
            </w:r>
            <w:r>
              <w:rPr>
                <w:rFonts w:ascii="Times New Roman" w:eastAsia="Times New Roman" w:hAnsi="Times New Roman" w:cs="Times New Roman"/>
                <w:sz w:val="20"/>
                <w:szCs w:val="20"/>
              </w:rPr>
              <w:t>ludes the construction of 8 additional repeater stations in the same number of rural localities.</w:t>
            </w:r>
          </w:p>
        </w:tc>
      </w:tr>
      <w:tr w:rsidR="007356D6" w14:paraId="77DFE329"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FB299E1"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Other important matter(s) on the project and not covered above:</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C619FE"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part of the initiative in Condorcanqui, the PUCP has organised the Seventh Workshop of the </w:t>
            </w:r>
            <w:r>
              <w:rPr>
                <w:rFonts w:ascii="Times New Roman" w:eastAsia="Times New Roman" w:hAnsi="Times New Roman" w:cs="Times New Roman"/>
                <w:sz w:val="20"/>
                <w:szCs w:val="20"/>
              </w:rPr>
              <w:t>Multi-stakeholder Alliance with the participation of various entities from the three levels of government. This</w:t>
            </w:r>
            <w:hyperlink r:id="rId26">
              <w:r>
                <w:rPr>
                  <w:rFonts w:ascii="Times New Roman" w:eastAsia="Times New Roman" w:hAnsi="Times New Roman" w:cs="Times New Roman"/>
                  <w:sz w:val="20"/>
                  <w:szCs w:val="20"/>
                </w:rPr>
                <w:t xml:space="preserve"> </w:t>
              </w:r>
            </w:hyperlink>
            <w:hyperlink r:id="rId27">
              <w:r>
                <w:rPr>
                  <w:rFonts w:ascii="Times New Roman" w:eastAsia="Times New Roman" w:hAnsi="Times New Roman" w:cs="Times New Roman"/>
                  <w:color w:val="1155CC"/>
                  <w:sz w:val="20"/>
                  <w:szCs w:val="20"/>
                  <w:u w:val="single"/>
                </w:rPr>
                <w:t>workshop</w:t>
              </w:r>
            </w:hyperlink>
            <w:r>
              <w:rPr>
                <w:rFonts w:ascii="Times New Roman" w:eastAsia="Times New Roman" w:hAnsi="Times New Roman" w:cs="Times New Roman"/>
                <w:sz w:val="20"/>
                <w:szCs w:val="20"/>
              </w:rPr>
              <w:t xml:space="preserve"> is a mile</w:t>
            </w:r>
            <w:r>
              <w:rPr>
                <w:rFonts w:ascii="Times New Roman" w:eastAsia="Times New Roman" w:hAnsi="Times New Roman" w:cs="Times New Roman"/>
                <w:sz w:val="20"/>
                <w:szCs w:val="20"/>
              </w:rPr>
              <w:t>stone in the process of multi-stakeholder alliances in this territory and was held with the participation of the Regional Government of Amazonas, demonstrating its commitment to the Project.</w:t>
            </w:r>
          </w:p>
        </w:tc>
      </w:tr>
      <w:tr w:rsidR="007356D6" w14:paraId="0F16FA81" w14:textId="77777777">
        <w:trPr>
          <w:trHeight w:val="420"/>
        </w:trPr>
        <w:tc>
          <w:tcPr>
            <w:tcW w:w="10140" w:type="dxa"/>
            <w:gridSpan w:val="2"/>
            <w:shd w:val="clear" w:color="auto" w:fill="CFE2F3"/>
          </w:tcPr>
          <w:p w14:paraId="631A9D72" w14:textId="77777777" w:rsidR="007356D6" w:rsidRDefault="007356D6">
            <w:pPr>
              <w:spacing w:line="240" w:lineRule="auto"/>
              <w:jc w:val="center"/>
              <w:rPr>
                <w:b/>
              </w:rPr>
            </w:pPr>
          </w:p>
        </w:tc>
      </w:tr>
      <w:tr w:rsidR="007356D6" w14:paraId="0DE4DDA2" w14:textId="77777777">
        <w:trPr>
          <w:trHeight w:val="420"/>
        </w:trPr>
        <w:tc>
          <w:tcPr>
            <w:tcW w:w="10140" w:type="dxa"/>
            <w:gridSpan w:val="2"/>
            <w:shd w:val="clear" w:color="auto" w:fill="CFE2F3"/>
          </w:tcPr>
          <w:p w14:paraId="7F94E367" w14:textId="77777777" w:rsidR="007356D6" w:rsidRDefault="00D7602D">
            <w:pPr>
              <w:spacing w:line="240" w:lineRule="auto"/>
              <w:jc w:val="center"/>
              <w:rPr>
                <w:b/>
              </w:rPr>
            </w:pPr>
            <w:r>
              <w:rPr>
                <w:b/>
              </w:rPr>
              <w:t xml:space="preserve">2024 Follow-up on </w:t>
            </w:r>
            <w:r>
              <w:rPr>
                <w:b/>
                <w:highlight w:val="green"/>
              </w:rPr>
              <w:t>[write date]</w:t>
            </w:r>
          </w:p>
        </w:tc>
      </w:tr>
      <w:tr w:rsidR="007356D6" w14:paraId="5B5FC643"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017430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33FB5"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1DD5EE26"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445EB6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Did any new problems emerge during implementation?</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5B4CE"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03B650F"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31DDAD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0EB9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D9904F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1A0E2C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9406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3F2B8A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260452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8F52E"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4D5B4EB3"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1A2E1C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CFDA3"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70B8815"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2E7115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0975D"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951157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703111"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75628"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16B18DBD" w14:textId="77777777" w:rsidR="007356D6" w:rsidRDefault="00D7602D">
      <w:pPr>
        <w:spacing w:line="240" w:lineRule="auto"/>
        <w:rPr>
          <w:rFonts w:ascii="Times New Roman" w:eastAsia="Times New Roman" w:hAnsi="Times New Roman" w:cs="Times New Roman"/>
        </w:rPr>
      </w:pPr>
      <w:r>
        <w:br w:type="page"/>
      </w:r>
    </w:p>
    <w:p w14:paraId="349749C7" w14:textId="77777777" w:rsidR="007356D6" w:rsidRDefault="007356D6">
      <w:pPr>
        <w:spacing w:line="240" w:lineRule="auto"/>
        <w:rPr>
          <w:rFonts w:ascii="Times New Roman" w:eastAsia="Times New Roman" w:hAnsi="Times New Roman" w:cs="Times New Roman"/>
        </w:rPr>
      </w:pPr>
    </w:p>
    <w:tbl>
      <w:tblPr>
        <w:tblStyle w:val="a8"/>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rsidRPr="00BB0B18" w14:paraId="08A24C15" w14:textId="77777777">
        <w:trPr>
          <w:trHeight w:val="420"/>
        </w:trPr>
        <w:tc>
          <w:tcPr>
            <w:tcW w:w="2391" w:type="dxa"/>
            <w:shd w:val="clear" w:color="auto" w:fill="CFE2F3"/>
            <w:tcMar>
              <w:top w:w="100" w:type="dxa"/>
              <w:left w:w="100" w:type="dxa"/>
              <w:bottom w:w="100" w:type="dxa"/>
              <w:right w:w="100" w:type="dxa"/>
            </w:tcMar>
          </w:tcPr>
          <w:p w14:paraId="2AF62106"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Case 3:</w:t>
            </w:r>
          </w:p>
        </w:tc>
        <w:tc>
          <w:tcPr>
            <w:tcW w:w="7749" w:type="dxa"/>
            <w:shd w:val="clear" w:color="auto" w:fill="CFE2F3"/>
            <w:tcMar>
              <w:top w:w="100" w:type="dxa"/>
              <w:left w:w="100" w:type="dxa"/>
              <w:bottom w:w="100" w:type="dxa"/>
              <w:right w:w="100" w:type="dxa"/>
            </w:tcMar>
          </w:tcPr>
          <w:p w14:paraId="3F5DB2D4" w14:textId="77777777" w:rsidR="007356D6" w:rsidRPr="00BB0B18" w:rsidRDefault="00D7602D">
            <w:pPr>
              <w:widowControl w:val="0"/>
              <w:spacing w:line="240" w:lineRule="auto"/>
              <w:jc w:val="center"/>
              <w:rPr>
                <w:rFonts w:ascii="Times New Roman" w:eastAsia="Times New Roman" w:hAnsi="Times New Roman" w:cs="Times New Roman"/>
                <w:b/>
                <w:lang w:val="fr-CH"/>
              </w:rPr>
            </w:pPr>
            <w:r w:rsidRPr="00BB0B18">
              <w:rPr>
                <w:rFonts w:ascii="Times New Roman" w:eastAsia="Times New Roman" w:hAnsi="Times New Roman" w:cs="Times New Roman"/>
                <w:b/>
                <w:lang w:val="fr-CH"/>
              </w:rPr>
              <w:t>Internet access point ‘Cybercase</w:t>
            </w:r>
            <w:r w:rsidRPr="00BB0B18">
              <w:rPr>
                <w:rFonts w:ascii="Times New Roman" w:eastAsia="Times New Roman" w:hAnsi="Times New Roman" w:cs="Times New Roman"/>
                <w:b/>
                <w:lang w:val="fr-CH"/>
              </w:rPr>
              <w:t xml:space="preserve"> de Popenguine’</w:t>
            </w:r>
          </w:p>
        </w:tc>
      </w:tr>
      <w:tr w:rsidR="007356D6" w14:paraId="28963899" w14:textId="77777777">
        <w:trPr>
          <w:trHeight w:val="420"/>
        </w:trPr>
        <w:tc>
          <w:tcPr>
            <w:tcW w:w="2391" w:type="dxa"/>
            <w:shd w:val="clear" w:color="auto" w:fill="auto"/>
            <w:tcMar>
              <w:top w:w="100" w:type="dxa"/>
              <w:left w:w="100" w:type="dxa"/>
              <w:bottom w:w="100" w:type="dxa"/>
              <w:right w:w="100" w:type="dxa"/>
            </w:tcMar>
          </w:tcPr>
          <w:p w14:paraId="554D65AB"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9" w:type="dxa"/>
            <w:shd w:val="clear" w:color="auto" w:fill="auto"/>
            <w:tcMar>
              <w:top w:w="100" w:type="dxa"/>
              <w:left w:w="100" w:type="dxa"/>
              <w:bottom w:w="100" w:type="dxa"/>
              <w:right w:w="100" w:type="dxa"/>
            </w:tcMar>
          </w:tcPr>
          <w:p w14:paraId="15423920"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Popenguine, Sénégal - African Group</w:t>
            </w:r>
          </w:p>
        </w:tc>
      </w:tr>
      <w:tr w:rsidR="007356D6" w14:paraId="69215C46" w14:textId="77777777">
        <w:trPr>
          <w:trHeight w:val="420"/>
        </w:trPr>
        <w:tc>
          <w:tcPr>
            <w:tcW w:w="2391" w:type="dxa"/>
            <w:shd w:val="clear" w:color="auto" w:fill="auto"/>
            <w:tcMar>
              <w:top w:w="100" w:type="dxa"/>
              <w:left w:w="100" w:type="dxa"/>
              <w:bottom w:w="100" w:type="dxa"/>
              <w:right w:w="100" w:type="dxa"/>
            </w:tcMar>
          </w:tcPr>
          <w:p w14:paraId="2606135C"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9" w:type="dxa"/>
            <w:shd w:val="clear" w:color="auto" w:fill="auto"/>
            <w:tcMar>
              <w:top w:w="100" w:type="dxa"/>
              <w:left w:w="100" w:type="dxa"/>
              <w:bottom w:w="100" w:type="dxa"/>
              <w:right w:w="100" w:type="dxa"/>
            </w:tcMar>
          </w:tcPr>
          <w:p w14:paraId="522178BA"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4F32480D" w14:textId="77777777">
        <w:trPr>
          <w:trHeight w:val="420"/>
        </w:trPr>
        <w:tc>
          <w:tcPr>
            <w:tcW w:w="2391" w:type="dxa"/>
            <w:shd w:val="clear" w:color="auto" w:fill="auto"/>
            <w:tcMar>
              <w:top w:w="100" w:type="dxa"/>
              <w:left w:w="100" w:type="dxa"/>
              <w:bottom w:w="100" w:type="dxa"/>
              <w:right w:w="100" w:type="dxa"/>
            </w:tcMar>
          </w:tcPr>
          <w:p w14:paraId="3FDDC811"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9" w:type="dxa"/>
            <w:shd w:val="clear" w:color="auto" w:fill="auto"/>
            <w:tcMar>
              <w:top w:w="100" w:type="dxa"/>
              <w:left w:w="100" w:type="dxa"/>
              <w:bottom w:w="100" w:type="dxa"/>
              <w:right w:w="100" w:type="dxa"/>
            </w:tcMar>
          </w:tcPr>
          <w:p w14:paraId="3A50F776"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His Excellency the President of the Republic, Maître Abdoulaye WADE</w:t>
            </w:r>
          </w:p>
        </w:tc>
      </w:tr>
      <w:tr w:rsidR="007356D6" w14:paraId="0A7B3DE2" w14:textId="77777777">
        <w:trPr>
          <w:trHeight w:val="420"/>
        </w:trPr>
        <w:tc>
          <w:tcPr>
            <w:tcW w:w="2391" w:type="dxa"/>
            <w:shd w:val="clear" w:color="auto" w:fill="auto"/>
            <w:tcMar>
              <w:top w:w="100" w:type="dxa"/>
              <w:left w:w="100" w:type="dxa"/>
              <w:bottom w:w="100" w:type="dxa"/>
              <w:right w:w="100" w:type="dxa"/>
            </w:tcMar>
          </w:tcPr>
          <w:p w14:paraId="570300EC"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9" w:type="dxa"/>
            <w:shd w:val="clear" w:color="auto" w:fill="auto"/>
            <w:tcMar>
              <w:top w:w="100" w:type="dxa"/>
              <w:left w:w="100" w:type="dxa"/>
              <w:bottom w:w="100" w:type="dxa"/>
              <w:right w:w="100" w:type="dxa"/>
            </w:tcMar>
          </w:tcPr>
          <w:p w14:paraId="294754A6" w14:textId="77777777" w:rsidR="007356D6" w:rsidRDefault="00D7602D">
            <w:pPr>
              <w:widowControl w:val="0"/>
              <w:numPr>
                <w:ilvl w:val="0"/>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Provide a pilot/experimental laboratory to enable the State to launch and test ICT projects for Senegaleses living in disadvantaged areas.</w:t>
            </w:r>
          </w:p>
          <w:p w14:paraId="308721E6" w14:textId="77777777" w:rsidR="007356D6" w:rsidRDefault="00D7602D">
            <w:pPr>
              <w:numPr>
                <w:ilvl w:val="0"/>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Specifics:</w:t>
            </w:r>
          </w:p>
          <w:p w14:paraId="4B2C33DE" w14:textId="77777777" w:rsidR="007356D6" w:rsidRDefault="00D7602D">
            <w:pPr>
              <w:numPr>
                <w:ilvl w:val="1"/>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Laboratory 60 km from the capital in a rural environment made up of 3 large villages of ca. 15,000 inhabit</w:t>
            </w:r>
            <w:r>
              <w:rPr>
                <w:rFonts w:ascii="Times New Roman" w:eastAsia="Times New Roman" w:hAnsi="Times New Roman" w:cs="Times New Roman"/>
                <w:sz w:val="20"/>
                <w:szCs w:val="20"/>
              </w:rPr>
              <w:t>ants</w:t>
            </w:r>
          </w:p>
          <w:p w14:paraId="79CEB824" w14:textId="77777777" w:rsidR="007356D6" w:rsidRDefault="00D7602D">
            <w:pPr>
              <w:numPr>
                <w:ilvl w:val="1"/>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Gender-focused </w:t>
            </w:r>
          </w:p>
        </w:tc>
      </w:tr>
      <w:tr w:rsidR="007356D6" w14:paraId="3D769985" w14:textId="77777777">
        <w:trPr>
          <w:trHeight w:val="420"/>
        </w:trPr>
        <w:tc>
          <w:tcPr>
            <w:tcW w:w="2391" w:type="dxa"/>
            <w:shd w:val="clear" w:color="auto" w:fill="auto"/>
            <w:tcMar>
              <w:top w:w="100" w:type="dxa"/>
              <w:left w:w="100" w:type="dxa"/>
              <w:bottom w:w="100" w:type="dxa"/>
              <w:right w:w="100" w:type="dxa"/>
            </w:tcMar>
          </w:tcPr>
          <w:p w14:paraId="3501C3DF"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49" w:type="dxa"/>
            <w:shd w:val="clear" w:color="auto" w:fill="auto"/>
            <w:tcMar>
              <w:top w:w="100" w:type="dxa"/>
              <w:left w:w="100" w:type="dxa"/>
              <w:bottom w:w="100" w:type="dxa"/>
              <w:right w:w="100" w:type="dxa"/>
            </w:tcMar>
          </w:tcPr>
          <w:p w14:paraId="1FC40167"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 an internet access point to promote ICTs for local development and ensure their democratisation</w:t>
            </w:r>
          </w:p>
        </w:tc>
      </w:tr>
      <w:tr w:rsidR="007356D6" w14:paraId="005520F5" w14:textId="77777777">
        <w:trPr>
          <w:trHeight w:val="420"/>
        </w:trPr>
        <w:tc>
          <w:tcPr>
            <w:tcW w:w="2391" w:type="dxa"/>
            <w:shd w:val="clear" w:color="auto" w:fill="auto"/>
            <w:tcMar>
              <w:top w:w="100" w:type="dxa"/>
              <w:left w:w="100" w:type="dxa"/>
              <w:bottom w:w="100" w:type="dxa"/>
              <w:right w:w="100" w:type="dxa"/>
            </w:tcMar>
          </w:tcPr>
          <w:p w14:paraId="09EC59A3"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749" w:type="dxa"/>
            <w:shd w:val="clear" w:color="auto" w:fill="auto"/>
            <w:tcMar>
              <w:top w:w="100" w:type="dxa"/>
              <w:left w:w="100" w:type="dxa"/>
              <w:bottom w:w="100" w:type="dxa"/>
              <w:right w:w="100" w:type="dxa"/>
            </w:tcMar>
          </w:tcPr>
          <w:p w14:paraId="4B377F48"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2B1AC86C"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Opening of an Internet room with a community radio and services for online administrative procedures</w:t>
            </w:r>
          </w:p>
          <w:p w14:paraId="3D8793DA"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Free remote training offers in French, Arabic and Wolof in an interactive e-learning platform</w:t>
            </w:r>
          </w:p>
          <w:p w14:paraId="153FEA04"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Issue of electronic chip cards for financial inclusion (withdrawals, deposits or purchases)</w:t>
            </w:r>
          </w:p>
          <w:p w14:paraId="50014A6F"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Quality telemedicine services offered to local and surrounding populations</w:t>
            </w:r>
          </w:p>
          <w:p w14:paraId="5C9159E4"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4F326A4D"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Improvement and modernisation of economic activities of women and young people in rural areas via training</w:t>
            </w:r>
          </w:p>
          <w:p w14:paraId="5C24EA15"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Telemedicine consultations generate local jobs as the suitcases/computers are handled by young people and women trained for this purpose.</w:t>
            </w:r>
          </w:p>
          <w:p w14:paraId="0F3506DE"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w:t>
            </w:r>
            <w:r>
              <w:rPr>
                <w:rFonts w:ascii="Times New Roman" w:eastAsia="Times New Roman" w:hAnsi="Times New Roman" w:cs="Times New Roman"/>
                <w:sz w:val="20"/>
                <w:szCs w:val="20"/>
              </w:rPr>
              <w:t>rned: we lack multistakeholderism in the management of such infrastructure. We need advice on how to implement an adapted business model to resurrect internet access points in a rural area.</w:t>
            </w:r>
          </w:p>
        </w:tc>
      </w:tr>
      <w:tr w:rsidR="007356D6" w14:paraId="4EBA918B" w14:textId="77777777">
        <w:trPr>
          <w:trHeight w:val="420"/>
        </w:trPr>
        <w:tc>
          <w:tcPr>
            <w:tcW w:w="10140" w:type="dxa"/>
            <w:gridSpan w:val="2"/>
            <w:shd w:val="clear" w:color="auto" w:fill="CFE2F3"/>
            <w:tcMar>
              <w:top w:w="100" w:type="dxa"/>
              <w:left w:w="100" w:type="dxa"/>
              <w:bottom w:w="100" w:type="dxa"/>
              <w:right w:w="100" w:type="dxa"/>
            </w:tcMar>
          </w:tcPr>
          <w:p w14:paraId="5CDE1438" w14:textId="77777777" w:rsidR="007356D6" w:rsidRDefault="00D7602D">
            <w:pPr>
              <w:spacing w:line="240" w:lineRule="auto"/>
              <w:jc w:val="center"/>
              <w:rPr>
                <w:b/>
              </w:rPr>
            </w:pPr>
            <w:r>
              <w:rPr>
                <w:b/>
              </w:rPr>
              <w:t xml:space="preserve">Follow-up on </w:t>
            </w:r>
            <w:r>
              <w:rPr>
                <w:b/>
                <w:highlight w:val="green"/>
              </w:rPr>
              <w:t>[write date]</w:t>
            </w:r>
          </w:p>
        </w:tc>
      </w:tr>
      <w:tr w:rsidR="007356D6" w14:paraId="6F2F231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66E6A9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shd w:val="clear" w:color="auto" w:fill="auto"/>
            <w:tcMar>
              <w:top w:w="100" w:type="dxa"/>
              <w:left w:w="100" w:type="dxa"/>
              <w:bottom w:w="100" w:type="dxa"/>
              <w:right w:w="100" w:type="dxa"/>
            </w:tcMar>
          </w:tcPr>
          <w:p w14:paraId="34FD2988"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588AFC9C"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E621DA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shd w:val="clear" w:color="auto" w:fill="auto"/>
            <w:tcMar>
              <w:top w:w="100" w:type="dxa"/>
              <w:left w:w="100" w:type="dxa"/>
              <w:bottom w:w="100" w:type="dxa"/>
              <w:right w:w="100" w:type="dxa"/>
            </w:tcMar>
          </w:tcPr>
          <w:p w14:paraId="15181930"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0EBC3479"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709D30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Do 2022/2023 solutions still work to tackle the problem? New solutions </w:t>
            </w:r>
            <w:r>
              <w:rPr>
                <w:rFonts w:ascii="Times New Roman" w:eastAsia="Times New Roman" w:hAnsi="Times New Roman" w:cs="Times New Roman"/>
                <w:b/>
                <w:sz w:val="20"/>
                <w:szCs w:val="20"/>
              </w:rPr>
              <w:lastRenderedPageBreak/>
              <w:t>needed to be developed?</w:t>
            </w:r>
          </w:p>
        </w:tc>
        <w:tc>
          <w:tcPr>
            <w:tcW w:w="7749" w:type="dxa"/>
            <w:shd w:val="clear" w:color="auto" w:fill="auto"/>
            <w:tcMar>
              <w:top w:w="100" w:type="dxa"/>
              <w:left w:w="100" w:type="dxa"/>
              <w:bottom w:w="100" w:type="dxa"/>
              <w:right w:w="100" w:type="dxa"/>
            </w:tcMar>
          </w:tcPr>
          <w:p w14:paraId="7EF16BA9"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59F095A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535C60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shd w:val="clear" w:color="auto" w:fill="auto"/>
            <w:tcMar>
              <w:top w:w="100" w:type="dxa"/>
              <w:left w:w="100" w:type="dxa"/>
              <w:bottom w:w="100" w:type="dxa"/>
              <w:right w:w="100" w:type="dxa"/>
            </w:tcMar>
          </w:tcPr>
          <w:p w14:paraId="5AFA9345"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3FD40D2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DAA34D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shd w:val="clear" w:color="auto" w:fill="auto"/>
            <w:tcMar>
              <w:top w:w="100" w:type="dxa"/>
              <w:left w:w="100" w:type="dxa"/>
              <w:bottom w:w="100" w:type="dxa"/>
              <w:right w:w="100" w:type="dxa"/>
            </w:tcMar>
          </w:tcPr>
          <w:p w14:paraId="05B9B150"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5224297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5084DE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shd w:val="clear" w:color="auto" w:fill="auto"/>
            <w:tcMar>
              <w:top w:w="100" w:type="dxa"/>
              <w:left w:w="100" w:type="dxa"/>
              <w:bottom w:w="100" w:type="dxa"/>
              <w:right w:w="100" w:type="dxa"/>
            </w:tcMar>
          </w:tcPr>
          <w:p w14:paraId="6AA1897B"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57150AD9"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057CF1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shd w:val="clear" w:color="auto" w:fill="auto"/>
            <w:tcMar>
              <w:top w:w="100" w:type="dxa"/>
              <w:left w:w="100" w:type="dxa"/>
              <w:bottom w:w="100" w:type="dxa"/>
              <w:right w:w="100" w:type="dxa"/>
            </w:tcMar>
          </w:tcPr>
          <w:p w14:paraId="53B1624D"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202F33F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D4E0FBB"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BE5E2A"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4DE897B7" w14:textId="77777777" w:rsidR="007356D6" w:rsidRDefault="007356D6">
      <w:pPr>
        <w:spacing w:line="240" w:lineRule="auto"/>
        <w:rPr>
          <w:rFonts w:ascii="Times New Roman" w:eastAsia="Times New Roman" w:hAnsi="Times New Roman" w:cs="Times New Roman"/>
          <w:b/>
          <w:color w:val="3C78D8"/>
          <w:sz w:val="26"/>
          <w:szCs w:val="26"/>
        </w:rPr>
      </w:pPr>
    </w:p>
    <w:p w14:paraId="6F112849" w14:textId="77777777" w:rsidR="007356D6" w:rsidRDefault="00D7602D">
      <w:pPr>
        <w:spacing w:line="240" w:lineRule="auto"/>
        <w:rPr>
          <w:rFonts w:ascii="Times New Roman" w:eastAsia="Times New Roman" w:hAnsi="Times New Roman" w:cs="Times New Roman"/>
        </w:rPr>
      </w:pPr>
      <w:r>
        <w:br w:type="page"/>
      </w:r>
    </w:p>
    <w:p w14:paraId="00436C70" w14:textId="77777777" w:rsidR="007356D6" w:rsidRDefault="007356D6">
      <w:pPr>
        <w:spacing w:line="240" w:lineRule="auto"/>
        <w:rPr>
          <w:rFonts w:ascii="Times New Roman" w:eastAsia="Times New Roman" w:hAnsi="Times New Roman" w:cs="Times New Roman"/>
        </w:rPr>
      </w:pPr>
    </w:p>
    <w:tbl>
      <w:tblPr>
        <w:tblStyle w:val="a9"/>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0BAD363D" w14:textId="77777777">
        <w:trPr>
          <w:trHeight w:val="420"/>
        </w:trPr>
        <w:tc>
          <w:tcPr>
            <w:tcW w:w="2391" w:type="dxa"/>
            <w:shd w:val="clear" w:color="auto" w:fill="CFE2F3"/>
            <w:tcMar>
              <w:top w:w="100" w:type="dxa"/>
              <w:left w:w="100" w:type="dxa"/>
              <w:bottom w:w="100" w:type="dxa"/>
              <w:right w:w="100" w:type="dxa"/>
            </w:tcMar>
          </w:tcPr>
          <w:p w14:paraId="35A3B82A"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Case 4:</w:t>
            </w:r>
          </w:p>
        </w:tc>
        <w:tc>
          <w:tcPr>
            <w:tcW w:w="7749" w:type="dxa"/>
            <w:shd w:val="clear" w:color="auto" w:fill="CFE2F3"/>
            <w:tcMar>
              <w:top w:w="100" w:type="dxa"/>
              <w:left w:w="100" w:type="dxa"/>
              <w:bottom w:w="100" w:type="dxa"/>
              <w:right w:w="100" w:type="dxa"/>
            </w:tcMar>
          </w:tcPr>
          <w:p w14:paraId="64DCF4EE" w14:textId="77777777" w:rsidR="007356D6" w:rsidRDefault="00D7602D">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One Country One Rate</w:t>
            </w:r>
          </w:p>
        </w:tc>
      </w:tr>
      <w:tr w:rsidR="007356D6" w14:paraId="10F472D2" w14:textId="77777777">
        <w:trPr>
          <w:trHeight w:val="420"/>
        </w:trPr>
        <w:tc>
          <w:tcPr>
            <w:tcW w:w="2391" w:type="dxa"/>
            <w:shd w:val="clear" w:color="auto" w:fill="auto"/>
            <w:tcMar>
              <w:top w:w="100" w:type="dxa"/>
              <w:left w:w="100" w:type="dxa"/>
              <w:bottom w:w="100" w:type="dxa"/>
              <w:right w:w="100" w:type="dxa"/>
            </w:tcMar>
          </w:tcPr>
          <w:p w14:paraId="0F068B98"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9" w:type="dxa"/>
            <w:shd w:val="clear" w:color="auto" w:fill="auto"/>
            <w:tcMar>
              <w:top w:w="100" w:type="dxa"/>
              <w:left w:w="100" w:type="dxa"/>
              <w:bottom w:w="100" w:type="dxa"/>
              <w:right w:w="100" w:type="dxa"/>
            </w:tcMar>
          </w:tcPr>
          <w:p w14:paraId="0925F9FF" w14:textId="77777777" w:rsidR="007356D6" w:rsidRDefault="00D7602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Bangladesh - Asia-Pacific Group</w:t>
            </w:r>
          </w:p>
        </w:tc>
      </w:tr>
      <w:tr w:rsidR="007356D6" w14:paraId="398F247F" w14:textId="77777777">
        <w:trPr>
          <w:trHeight w:val="420"/>
        </w:trPr>
        <w:tc>
          <w:tcPr>
            <w:tcW w:w="2391" w:type="dxa"/>
            <w:shd w:val="clear" w:color="auto" w:fill="auto"/>
            <w:tcMar>
              <w:top w:w="100" w:type="dxa"/>
              <w:left w:w="100" w:type="dxa"/>
              <w:bottom w:w="100" w:type="dxa"/>
              <w:right w:w="100" w:type="dxa"/>
            </w:tcMar>
          </w:tcPr>
          <w:p w14:paraId="0CE5AB33"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9" w:type="dxa"/>
            <w:shd w:val="clear" w:color="auto" w:fill="auto"/>
            <w:tcMar>
              <w:top w:w="100" w:type="dxa"/>
              <w:left w:w="100" w:type="dxa"/>
              <w:bottom w:w="100" w:type="dxa"/>
              <w:right w:w="100" w:type="dxa"/>
            </w:tcMar>
          </w:tcPr>
          <w:p w14:paraId="61E56CE3" w14:textId="77777777" w:rsidR="007356D6" w:rsidRDefault="00D7602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595A4AB3" w14:textId="77777777">
        <w:trPr>
          <w:trHeight w:val="420"/>
        </w:trPr>
        <w:tc>
          <w:tcPr>
            <w:tcW w:w="2391" w:type="dxa"/>
            <w:shd w:val="clear" w:color="auto" w:fill="auto"/>
            <w:tcMar>
              <w:top w:w="100" w:type="dxa"/>
              <w:left w:w="100" w:type="dxa"/>
              <w:bottom w:w="100" w:type="dxa"/>
              <w:right w:w="100" w:type="dxa"/>
            </w:tcMar>
          </w:tcPr>
          <w:p w14:paraId="4377E26B"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9" w:type="dxa"/>
            <w:shd w:val="clear" w:color="auto" w:fill="auto"/>
            <w:tcMar>
              <w:top w:w="100" w:type="dxa"/>
              <w:left w:w="100" w:type="dxa"/>
              <w:bottom w:w="100" w:type="dxa"/>
              <w:right w:w="100" w:type="dxa"/>
            </w:tcMar>
          </w:tcPr>
          <w:p w14:paraId="69360B3E" w14:textId="77777777" w:rsidR="007356D6" w:rsidRDefault="00D7602D">
            <w:pPr>
              <w:widowControl w:val="0"/>
              <w:numPr>
                <w:ilvl w:val="0"/>
                <w:numId w:val="5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Bangladesh Telecommunication Regulatory Commission</w:t>
            </w:r>
          </w:p>
        </w:tc>
      </w:tr>
      <w:tr w:rsidR="007356D6" w14:paraId="45B80F05" w14:textId="77777777">
        <w:trPr>
          <w:trHeight w:val="420"/>
        </w:trPr>
        <w:tc>
          <w:tcPr>
            <w:tcW w:w="2391" w:type="dxa"/>
            <w:shd w:val="clear" w:color="auto" w:fill="auto"/>
            <w:tcMar>
              <w:top w:w="100" w:type="dxa"/>
              <w:left w:w="100" w:type="dxa"/>
              <w:bottom w:w="100" w:type="dxa"/>
              <w:right w:w="100" w:type="dxa"/>
            </w:tcMar>
          </w:tcPr>
          <w:p w14:paraId="77F0948F"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9" w:type="dxa"/>
            <w:shd w:val="clear" w:color="auto" w:fill="auto"/>
            <w:tcMar>
              <w:top w:w="100" w:type="dxa"/>
              <w:left w:w="100" w:type="dxa"/>
              <w:bottom w:w="100" w:type="dxa"/>
              <w:right w:w="100" w:type="dxa"/>
            </w:tcMar>
          </w:tcPr>
          <w:p w14:paraId="6380227D" w14:textId="77777777" w:rsidR="007356D6" w:rsidRDefault="00D7602D">
            <w:pPr>
              <w:numPr>
                <w:ilvl w:val="0"/>
                <w:numId w:val="26"/>
              </w:numPr>
              <w:spacing w:line="240" w:lineRule="auto"/>
              <w:rPr>
                <w:sz w:val="20"/>
                <w:szCs w:val="20"/>
              </w:rPr>
            </w:pPr>
            <w:r>
              <w:rPr>
                <w:rFonts w:ascii="Times New Roman" w:eastAsia="Times New Roman" w:hAnsi="Times New Roman" w:cs="Times New Roman"/>
                <w:sz w:val="20"/>
                <w:szCs w:val="20"/>
              </w:rPr>
              <w:t>The Bangladeshi government provided internet infrastructure to rural areas, but a considerable amount of people are still unconnected due to the high prices</w:t>
            </w:r>
          </w:p>
        </w:tc>
      </w:tr>
      <w:tr w:rsidR="007356D6" w14:paraId="0DD3BDD4" w14:textId="77777777">
        <w:trPr>
          <w:trHeight w:val="420"/>
        </w:trPr>
        <w:tc>
          <w:tcPr>
            <w:tcW w:w="2391" w:type="dxa"/>
            <w:shd w:val="clear" w:color="auto" w:fill="auto"/>
            <w:tcMar>
              <w:top w:w="100" w:type="dxa"/>
              <w:left w:w="100" w:type="dxa"/>
              <w:bottom w:w="100" w:type="dxa"/>
              <w:right w:w="100" w:type="dxa"/>
            </w:tcMar>
          </w:tcPr>
          <w:p w14:paraId="41250517"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49" w:type="dxa"/>
            <w:shd w:val="clear" w:color="auto" w:fill="auto"/>
            <w:tcMar>
              <w:top w:w="100" w:type="dxa"/>
              <w:left w:w="100" w:type="dxa"/>
              <w:bottom w:w="100" w:type="dxa"/>
              <w:right w:w="100" w:type="dxa"/>
            </w:tcMar>
          </w:tcPr>
          <w:p w14:paraId="444107C4" w14:textId="77777777" w:rsidR="007356D6" w:rsidRDefault="00D7602D">
            <w:pPr>
              <w:widowControl w:val="0"/>
              <w:numPr>
                <w:ilvl w:val="0"/>
                <w:numId w:val="5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BTRC, in consultation with interested stak</w:t>
            </w:r>
            <w:r>
              <w:rPr>
                <w:rFonts w:ascii="Times New Roman" w:eastAsia="Times New Roman" w:hAnsi="Times New Roman" w:cs="Times New Roman"/>
                <w:sz w:val="20"/>
                <w:szCs w:val="20"/>
              </w:rPr>
              <w:t>eholders (e.g., telecoms), proposed the adoption of a unified internet tariff across the country, regardless of use in urban or rural areas</w:t>
            </w:r>
          </w:p>
        </w:tc>
      </w:tr>
      <w:tr w:rsidR="007356D6" w14:paraId="483996B1" w14:textId="77777777">
        <w:trPr>
          <w:trHeight w:val="420"/>
        </w:trPr>
        <w:tc>
          <w:tcPr>
            <w:tcW w:w="2391" w:type="dxa"/>
            <w:shd w:val="clear" w:color="auto" w:fill="auto"/>
            <w:tcMar>
              <w:top w:w="100" w:type="dxa"/>
              <w:left w:w="100" w:type="dxa"/>
              <w:bottom w:w="100" w:type="dxa"/>
              <w:right w:w="100" w:type="dxa"/>
            </w:tcMar>
          </w:tcPr>
          <w:p w14:paraId="0F261668"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749" w:type="dxa"/>
            <w:shd w:val="clear" w:color="auto" w:fill="auto"/>
            <w:tcMar>
              <w:top w:w="100" w:type="dxa"/>
              <w:left w:w="100" w:type="dxa"/>
              <w:bottom w:w="100" w:type="dxa"/>
              <w:right w:w="100" w:type="dxa"/>
            </w:tcMar>
          </w:tcPr>
          <w:p w14:paraId="43364396"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13CBA6FD"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unified price guarantees intersectionality. </w:t>
            </w:r>
          </w:p>
          <w:p w14:paraId="06D1F50E"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Along the “One Country One Rate” tariff a Grade of Service (GoS) was also implemented for internet service providers (ISPs), international internet gateway (IIG) operators and nationwide telecommunication tr</w:t>
            </w:r>
            <w:r>
              <w:rPr>
                <w:rFonts w:ascii="Times New Roman" w:eastAsia="Times New Roman" w:hAnsi="Times New Roman" w:cs="Times New Roman"/>
                <w:sz w:val="20"/>
                <w:szCs w:val="20"/>
              </w:rPr>
              <w:t>ansmission network (NTTN) operators. Each ISP, NTTN and IIG shall be obliged to maintain a GoS and ensure quality of service under provision of penalty conditions falling short of the grade.</w:t>
            </w:r>
          </w:p>
          <w:p w14:paraId="3FB2D5F4"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 complete implementation of the single internet tariff acr</w:t>
            </w:r>
            <w:r>
              <w:rPr>
                <w:rFonts w:ascii="Times New Roman" w:eastAsia="Times New Roman" w:hAnsi="Times New Roman" w:cs="Times New Roman"/>
                <w:sz w:val="20"/>
                <w:szCs w:val="20"/>
              </w:rPr>
              <w:t>oss the country will bring visible change to the IT sector, increasing the number and size of industries such as ICT incubators.</w:t>
            </w:r>
          </w:p>
          <w:p w14:paraId="4AC6D080"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learned: it can be promoted as an acceptable business case for the ISP industry on how to maintain affordability and ex</w:t>
            </w:r>
            <w:r>
              <w:rPr>
                <w:rFonts w:ascii="Times New Roman" w:eastAsia="Times New Roman" w:hAnsi="Times New Roman" w:cs="Times New Roman"/>
                <w:sz w:val="20"/>
                <w:szCs w:val="20"/>
              </w:rPr>
              <w:t>pand services to stakeholders in rural areas.</w:t>
            </w:r>
          </w:p>
        </w:tc>
      </w:tr>
      <w:tr w:rsidR="007356D6" w14:paraId="72614A96" w14:textId="77777777">
        <w:trPr>
          <w:trHeight w:val="420"/>
        </w:trPr>
        <w:tc>
          <w:tcPr>
            <w:tcW w:w="10140" w:type="dxa"/>
            <w:gridSpan w:val="2"/>
            <w:shd w:val="clear" w:color="auto" w:fill="CFE2F3"/>
            <w:tcMar>
              <w:top w:w="100" w:type="dxa"/>
              <w:left w:w="100" w:type="dxa"/>
              <w:bottom w:w="100" w:type="dxa"/>
              <w:right w:w="100" w:type="dxa"/>
            </w:tcMar>
          </w:tcPr>
          <w:p w14:paraId="6456D61F" w14:textId="77777777" w:rsidR="007356D6" w:rsidRDefault="00D7602D">
            <w:pPr>
              <w:spacing w:line="240" w:lineRule="auto"/>
              <w:jc w:val="center"/>
              <w:rPr>
                <w:b/>
              </w:rPr>
            </w:pPr>
            <w:r>
              <w:rPr>
                <w:b/>
              </w:rPr>
              <w:t xml:space="preserve">Follow-up on </w:t>
            </w:r>
            <w:r>
              <w:rPr>
                <w:b/>
                <w:highlight w:val="green"/>
              </w:rPr>
              <w:t>[write date]</w:t>
            </w:r>
          </w:p>
        </w:tc>
      </w:tr>
      <w:tr w:rsidR="007356D6" w14:paraId="6FEBE15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97748D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shd w:val="clear" w:color="auto" w:fill="auto"/>
            <w:tcMar>
              <w:top w:w="100" w:type="dxa"/>
              <w:left w:w="100" w:type="dxa"/>
              <w:bottom w:w="100" w:type="dxa"/>
              <w:right w:w="100" w:type="dxa"/>
            </w:tcMar>
          </w:tcPr>
          <w:p w14:paraId="10322CC3"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6754CA3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730E92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shd w:val="clear" w:color="auto" w:fill="auto"/>
            <w:tcMar>
              <w:top w:w="100" w:type="dxa"/>
              <w:left w:w="100" w:type="dxa"/>
              <w:bottom w:w="100" w:type="dxa"/>
              <w:right w:w="100" w:type="dxa"/>
            </w:tcMar>
          </w:tcPr>
          <w:p w14:paraId="3A6C49B7"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54CA9129"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ADDBC6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49" w:type="dxa"/>
            <w:shd w:val="clear" w:color="auto" w:fill="auto"/>
            <w:tcMar>
              <w:top w:w="100" w:type="dxa"/>
              <w:left w:w="100" w:type="dxa"/>
              <w:bottom w:w="100" w:type="dxa"/>
              <w:right w:w="100" w:type="dxa"/>
            </w:tcMar>
          </w:tcPr>
          <w:p w14:paraId="679185E5"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6BB0410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A2FAC1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Was the solution scaled or localised to other regions? If so, please share </w:t>
            </w:r>
            <w:r>
              <w:rPr>
                <w:rFonts w:ascii="Times New Roman" w:eastAsia="Times New Roman" w:hAnsi="Times New Roman" w:cs="Times New Roman"/>
                <w:b/>
                <w:sz w:val="20"/>
                <w:szCs w:val="20"/>
              </w:rPr>
              <w:lastRenderedPageBreak/>
              <w:t>examples</w:t>
            </w:r>
          </w:p>
        </w:tc>
        <w:tc>
          <w:tcPr>
            <w:tcW w:w="7749" w:type="dxa"/>
            <w:shd w:val="clear" w:color="auto" w:fill="auto"/>
            <w:tcMar>
              <w:top w:w="100" w:type="dxa"/>
              <w:left w:w="100" w:type="dxa"/>
              <w:bottom w:w="100" w:type="dxa"/>
              <w:right w:w="100" w:type="dxa"/>
            </w:tcMar>
          </w:tcPr>
          <w:p w14:paraId="11EA7C53"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60B5608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3BAE72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shd w:val="clear" w:color="auto" w:fill="auto"/>
            <w:tcMar>
              <w:top w:w="100" w:type="dxa"/>
              <w:left w:w="100" w:type="dxa"/>
              <w:bottom w:w="100" w:type="dxa"/>
              <w:right w:w="100" w:type="dxa"/>
            </w:tcMar>
          </w:tcPr>
          <w:p w14:paraId="1442C612"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796F5189"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944F98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shd w:val="clear" w:color="auto" w:fill="auto"/>
            <w:tcMar>
              <w:top w:w="100" w:type="dxa"/>
              <w:left w:w="100" w:type="dxa"/>
              <w:bottom w:w="100" w:type="dxa"/>
              <w:right w:w="100" w:type="dxa"/>
            </w:tcMar>
          </w:tcPr>
          <w:p w14:paraId="56258BC1"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126E962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E98009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shd w:val="clear" w:color="auto" w:fill="auto"/>
            <w:tcMar>
              <w:top w:w="100" w:type="dxa"/>
              <w:left w:w="100" w:type="dxa"/>
              <w:bottom w:w="100" w:type="dxa"/>
              <w:right w:w="100" w:type="dxa"/>
            </w:tcMar>
          </w:tcPr>
          <w:p w14:paraId="685B523B"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055ACCC4"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783EFAD"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8E8395" w14:textId="77777777" w:rsidR="007356D6" w:rsidRDefault="007356D6">
            <w:pPr>
              <w:spacing w:line="240" w:lineRule="auto"/>
              <w:ind w:left="360"/>
              <w:jc w:val="both"/>
              <w:rPr>
                <w:rFonts w:ascii="Times New Roman" w:eastAsia="Times New Roman" w:hAnsi="Times New Roman" w:cs="Times New Roman"/>
                <w:sz w:val="20"/>
                <w:szCs w:val="20"/>
              </w:rPr>
            </w:pPr>
          </w:p>
        </w:tc>
      </w:tr>
    </w:tbl>
    <w:p w14:paraId="076E2252" w14:textId="77777777" w:rsidR="007356D6" w:rsidRDefault="007356D6">
      <w:pPr>
        <w:spacing w:line="240" w:lineRule="auto"/>
        <w:rPr>
          <w:rFonts w:ascii="Times New Roman" w:eastAsia="Times New Roman" w:hAnsi="Times New Roman" w:cs="Times New Roman"/>
          <w:b/>
          <w:sz w:val="24"/>
          <w:szCs w:val="24"/>
        </w:rPr>
      </w:pPr>
    </w:p>
    <w:p w14:paraId="27275039" w14:textId="77777777" w:rsidR="007356D6" w:rsidRDefault="00D7602D">
      <w:pPr>
        <w:spacing w:before="240" w:after="240" w:line="240" w:lineRule="auto"/>
      </w:pPr>
      <w:r>
        <w:rPr>
          <w:rFonts w:ascii="Times New Roman" w:eastAsia="Times New Roman" w:hAnsi="Times New Roman" w:cs="Times New Roman"/>
          <w:b/>
          <w:sz w:val="24"/>
          <w:szCs w:val="24"/>
        </w:rPr>
        <w:t xml:space="preserve"> </w:t>
      </w:r>
    </w:p>
    <w:tbl>
      <w:tblPr>
        <w:tblStyle w:val="aa"/>
        <w:tblW w:w="10154" w:type="dxa"/>
        <w:tblBorders>
          <w:top w:val="nil"/>
          <w:left w:val="nil"/>
          <w:bottom w:val="nil"/>
          <w:right w:val="nil"/>
          <w:insideH w:val="nil"/>
          <w:insideV w:val="nil"/>
        </w:tblBorders>
        <w:tblLayout w:type="fixed"/>
        <w:tblLook w:val="0600" w:firstRow="0" w:lastRow="0" w:firstColumn="0" w:lastColumn="0" w:noHBand="1" w:noVBand="1"/>
      </w:tblPr>
      <w:tblGrid>
        <w:gridCol w:w="2298"/>
        <w:gridCol w:w="7856"/>
      </w:tblGrid>
      <w:tr w:rsidR="007356D6" w14:paraId="3D259CDE" w14:textId="77777777">
        <w:trPr>
          <w:trHeight w:val="495"/>
        </w:trPr>
        <w:tc>
          <w:tcPr>
            <w:tcW w:w="229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A3D6989"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Case 5:</w:t>
            </w:r>
          </w:p>
        </w:tc>
        <w:tc>
          <w:tcPr>
            <w:tcW w:w="7856"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1106638C"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Sustainable Development by Internet Backpack</w:t>
            </w:r>
          </w:p>
        </w:tc>
      </w:tr>
      <w:tr w:rsidR="007356D6" w14:paraId="4A473F5E" w14:textId="77777777">
        <w:trPr>
          <w:trHeight w:val="423"/>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FFD487"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856" w:type="dxa"/>
            <w:tcBorders>
              <w:top w:val="nil"/>
              <w:left w:val="nil"/>
              <w:bottom w:val="single" w:sz="8" w:space="0" w:color="000000"/>
              <w:right w:val="single" w:sz="8" w:space="0" w:color="000000"/>
            </w:tcBorders>
            <w:tcMar>
              <w:top w:w="100" w:type="dxa"/>
              <w:left w:w="100" w:type="dxa"/>
              <w:bottom w:w="100" w:type="dxa"/>
              <w:right w:w="100" w:type="dxa"/>
            </w:tcMar>
          </w:tcPr>
          <w:p w14:paraId="7F891DC0"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Democratic Republic of the Congo (DRC), Liberia and Costa Rica</w:t>
            </w:r>
          </w:p>
        </w:tc>
      </w:tr>
      <w:tr w:rsidR="007356D6" w14:paraId="42A1A615" w14:textId="77777777">
        <w:trPr>
          <w:trHeight w:val="410"/>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6D34A"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856" w:type="dxa"/>
            <w:tcBorders>
              <w:top w:val="nil"/>
              <w:left w:val="nil"/>
              <w:bottom w:val="single" w:sz="8" w:space="0" w:color="000000"/>
              <w:right w:val="single" w:sz="8" w:space="0" w:color="000000"/>
            </w:tcBorders>
            <w:tcMar>
              <w:top w:w="100" w:type="dxa"/>
              <w:left w:w="100" w:type="dxa"/>
              <w:bottom w:w="100" w:type="dxa"/>
              <w:right w:w="100" w:type="dxa"/>
            </w:tcMar>
          </w:tcPr>
          <w:p w14:paraId="5FF48510"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193E20DB" w14:textId="77777777">
        <w:trPr>
          <w:trHeight w:val="887"/>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6D435A"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856" w:type="dxa"/>
            <w:tcBorders>
              <w:top w:val="nil"/>
              <w:left w:val="nil"/>
              <w:bottom w:val="single" w:sz="8" w:space="0" w:color="000000"/>
              <w:right w:val="single" w:sz="8" w:space="0" w:color="000000"/>
            </w:tcBorders>
            <w:tcMar>
              <w:top w:w="100" w:type="dxa"/>
              <w:left w:w="100" w:type="dxa"/>
              <w:bottom w:w="100" w:type="dxa"/>
              <w:right w:w="100" w:type="dxa"/>
            </w:tcMar>
          </w:tcPr>
          <w:p w14:paraId="50BDB7B9" w14:textId="77777777" w:rsidR="007356D6" w:rsidRDefault="00D7602D">
            <w:pPr>
              <w:numPr>
                <w:ilvl w:val="0"/>
                <w:numId w:val="3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Syracuse University School of Information Studies (iSchool) partners and with support from the National Science Foundation's (NSF) Division of Engineering, and Computer and Information Science and Engineering (CISE)</w:t>
            </w:r>
          </w:p>
        </w:tc>
      </w:tr>
      <w:tr w:rsidR="007356D6" w14:paraId="1AD7C41D" w14:textId="77777777">
        <w:trPr>
          <w:trHeight w:val="1100"/>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7F3391"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856" w:type="dxa"/>
            <w:tcBorders>
              <w:top w:val="nil"/>
              <w:left w:val="nil"/>
              <w:bottom w:val="single" w:sz="8" w:space="0" w:color="000000"/>
              <w:right w:val="single" w:sz="8" w:space="0" w:color="000000"/>
            </w:tcBorders>
            <w:tcMar>
              <w:top w:w="100" w:type="dxa"/>
              <w:left w:w="100" w:type="dxa"/>
              <w:bottom w:w="100" w:type="dxa"/>
              <w:right w:w="100" w:type="dxa"/>
            </w:tcMar>
          </w:tcPr>
          <w:p w14:paraId="4DEA42DA" w14:textId="77777777" w:rsidR="007356D6" w:rsidRDefault="00D7602D">
            <w:pPr>
              <w:numPr>
                <w:ilvl w:val="0"/>
                <w:numId w:val="1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cost of servic</w:t>
            </w:r>
            <w:r>
              <w:rPr>
                <w:rFonts w:ascii="Times New Roman" w:eastAsia="Times New Roman" w:hAnsi="Times New Roman" w:cs="Times New Roman"/>
                <w:sz w:val="20"/>
                <w:szCs w:val="20"/>
              </w:rPr>
              <w:t>es and the lack of infrastructure in the above mentioned countries prevent most people from accessing the Internet - operation costs are high starting from ISPs, which use satellite bandwidth use</w:t>
            </w:r>
          </w:p>
          <w:p w14:paraId="2F1384BB" w14:textId="77777777" w:rsidR="007356D6" w:rsidRDefault="00D7602D">
            <w:pPr>
              <w:numPr>
                <w:ilvl w:val="0"/>
                <w:numId w:val="1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other approach to community networks has been tested</w:t>
            </w:r>
          </w:p>
        </w:tc>
      </w:tr>
      <w:tr w:rsidR="007356D6" w14:paraId="51C7CBDD" w14:textId="77777777">
        <w:trPr>
          <w:trHeight w:val="2232"/>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B5FA1"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856" w:type="dxa"/>
            <w:tcBorders>
              <w:top w:val="nil"/>
              <w:left w:val="nil"/>
              <w:bottom w:val="single" w:sz="8" w:space="0" w:color="000000"/>
              <w:right w:val="single" w:sz="8" w:space="0" w:color="000000"/>
            </w:tcBorders>
            <w:tcMar>
              <w:top w:w="100" w:type="dxa"/>
              <w:left w:w="100" w:type="dxa"/>
              <w:bottom w:w="100" w:type="dxa"/>
              <w:right w:w="100" w:type="dxa"/>
            </w:tcMar>
          </w:tcPr>
          <w:p w14:paraId="17E08E30" w14:textId="77777777" w:rsidR="007356D6" w:rsidRDefault="00D7602D">
            <w:pPr>
              <w:numPr>
                <w:ilvl w:val="0"/>
                <w:numId w:val="4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Creation of the Internet Backpack: a portable Wi-Max network covering a range of 5 miles, fully chargeable by solar energy, and able to simultaneously connect dozens of devices. Internet access is ens</w:t>
            </w:r>
            <w:r>
              <w:rPr>
                <w:rFonts w:ascii="Times New Roman" w:eastAsia="Times New Roman" w:hAnsi="Times New Roman" w:cs="Times New Roman"/>
                <w:sz w:val="20"/>
                <w:szCs w:val="20"/>
              </w:rPr>
              <w:t>ured by low-orbit satellites paired with the backpack. Each device costs USD 13.000</w:t>
            </w:r>
          </w:p>
          <w:p w14:paraId="1CBB9417" w14:textId="77777777" w:rsidR="007356D6" w:rsidRDefault="00D7602D">
            <w:pPr>
              <w:numPr>
                <w:ilvl w:val="1"/>
                <w:numId w:val="4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Designed mainly to cover areas at risk of natural catastrophes, in order to reach the rural population disconnected from the electric grid or telephone networks</w:t>
            </w:r>
          </w:p>
          <w:p w14:paraId="632D0939" w14:textId="77777777" w:rsidR="007356D6" w:rsidRDefault="00D7602D">
            <w:pPr>
              <w:numPr>
                <w:ilvl w:val="0"/>
                <w:numId w:val="4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Implementat</w:t>
            </w:r>
            <w:r>
              <w:rPr>
                <w:rFonts w:ascii="Times New Roman" w:eastAsia="Times New Roman" w:hAnsi="Times New Roman" w:cs="Times New Roman"/>
                <w:sz w:val="20"/>
                <w:szCs w:val="20"/>
              </w:rPr>
              <w:t>ion of pilot studies with community feedback and user responses in the DRC, Liberia and Costa Rica.</w:t>
            </w:r>
          </w:p>
        </w:tc>
      </w:tr>
      <w:tr w:rsidR="007356D6" w14:paraId="1E939F06" w14:textId="77777777">
        <w:trPr>
          <w:trHeight w:val="2676"/>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E4B64C"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Results / Impact / Lessons learned (what worked / remaining challenges)</w:t>
            </w:r>
          </w:p>
        </w:tc>
        <w:tc>
          <w:tcPr>
            <w:tcW w:w="7856" w:type="dxa"/>
            <w:tcBorders>
              <w:top w:val="nil"/>
              <w:left w:val="nil"/>
              <w:bottom w:val="single" w:sz="8" w:space="0" w:color="000000"/>
              <w:right w:val="single" w:sz="8" w:space="0" w:color="000000"/>
            </w:tcBorders>
            <w:tcMar>
              <w:top w:w="100" w:type="dxa"/>
              <w:left w:w="100" w:type="dxa"/>
              <w:bottom w:w="100" w:type="dxa"/>
              <w:right w:w="100" w:type="dxa"/>
            </w:tcMar>
          </w:tcPr>
          <w:p w14:paraId="793279B7" w14:textId="77777777" w:rsidR="007356D6" w:rsidRDefault="00D7602D">
            <w:pPr>
              <w:numPr>
                <w:ilvl w:val="0"/>
                <w:numId w:val="5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20746847" w14:textId="77777777" w:rsidR="007356D6" w:rsidRDefault="00D7602D">
            <w:pPr>
              <w:numPr>
                <w:ilvl w:val="1"/>
                <w:numId w:val="5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Emergence of a new type of community network: the ‘Pop Up Community’</w:t>
            </w:r>
          </w:p>
          <w:p w14:paraId="2CD13CF1" w14:textId="77777777" w:rsidR="007356D6" w:rsidRDefault="00D7602D">
            <w:pPr>
              <w:numPr>
                <w:ilvl w:val="1"/>
                <w:numId w:val="5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Costa Rica, for instance, the Internet Backpack allows up to 50 users and 250 devices to share connectivity and device resources, anywhere, with a field set-up time of 4 minutes</w:t>
            </w:r>
          </w:p>
          <w:p w14:paraId="721BB886" w14:textId="77777777" w:rsidR="007356D6" w:rsidRDefault="00D7602D">
            <w:pPr>
              <w:numPr>
                <w:ilvl w:val="0"/>
                <w:numId w:val="5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2C82D7C1" w14:textId="77777777" w:rsidR="007356D6" w:rsidRDefault="00D7602D">
            <w:pPr>
              <w:numPr>
                <w:ilvl w:val="1"/>
                <w:numId w:val="5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Capable of supporting the original design of ‘worst case scenario s</w:t>
            </w:r>
            <w:r>
              <w:rPr>
                <w:rFonts w:ascii="Times New Roman" w:eastAsia="Times New Roman" w:hAnsi="Times New Roman" w:cs="Times New Roman"/>
                <w:sz w:val="20"/>
                <w:szCs w:val="20"/>
              </w:rPr>
              <w:t xml:space="preserve">urvival as a service’, as well as affordable resource-sharing for education and remote indigenous community access in less extreme circumstances </w:t>
            </w:r>
          </w:p>
          <w:p w14:paraId="329BD052" w14:textId="77777777" w:rsidR="007356D6" w:rsidRDefault="00D7602D">
            <w:pPr>
              <w:numPr>
                <w:ilvl w:val="1"/>
                <w:numId w:val="4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Currently, 20 pilot studies are being implemented in 8 countries, on 4 continents.</w:t>
            </w:r>
          </w:p>
        </w:tc>
      </w:tr>
    </w:tbl>
    <w:p w14:paraId="20487CBA" w14:textId="77777777" w:rsidR="007356D6" w:rsidRDefault="007356D6">
      <w:pPr>
        <w:spacing w:line="240" w:lineRule="auto"/>
        <w:rPr>
          <w:rFonts w:ascii="Times New Roman" w:eastAsia="Times New Roman" w:hAnsi="Times New Roman" w:cs="Times New Roman"/>
        </w:rPr>
      </w:pPr>
    </w:p>
    <w:tbl>
      <w:tblPr>
        <w:tblStyle w:val="ab"/>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621E5DFB" w14:textId="77777777">
        <w:trPr>
          <w:trHeight w:val="420"/>
        </w:trPr>
        <w:tc>
          <w:tcPr>
            <w:tcW w:w="10140" w:type="dxa"/>
            <w:gridSpan w:val="2"/>
            <w:shd w:val="clear" w:color="auto" w:fill="CFE2F3"/>
            <w:tcMar>
              <w:top w:w="100" w:type="dxa"/>
              <w:left w:w="100" w:type="dxa"/>
              <w:bottom w:w="100" w:type="dxa"/>
              <w:right w:w="100" w:type="dxa"/>
            </w:tcMar>
          </w:tcPr>
          <w:p w14:paraId="17E5B35B" w14:textId="77777777" w:rsidR="007356D6" w:rsidRDefault="00D7602D">
            <w:pPr>
              <w:spacing w:line="240" w:lineRule="auto"/>
              <w:jc w:val="center"/>
              <w:rPr>
                <w:b/>
              </w:rPr>
            </w:pPr>
            <w:r>
              <w:rPr>
                <w:b/>
              </w:rPr>
              <w:t xml:space="preserve">Follow-up on </w:t>
            </w:r>
            <w:r>
              <w:rPr>
                <w:b/>
                <w:highlight w:val="green"/>
              </w:rPr>
              <w:t>[write date]</w:t>
            </w:r>
          </w:p>
        </w:tc>
      </w:tr>
      <w:tr w:rsidR="007356D6" w14:paraId="118CF87F"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20861A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shd w:val="clear" w:color="auto" w:fill="auto"/>
            <w:tcMar>
              <w:top w:w="100" w:type="dxa"/>
              <w:left w:w="100" w:type="dxa"/>
              <w:bottom w:w="100" w:type="dxa"/>
              <w:right w:w="100" w:type="dxa"/>
            </w:tcMar>
          </w:tcPr>
          <w:p w14:paraId="56979DC8"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1372FB8E"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825D6C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shd w:val="clear" w:color="auto" w:fill="auto"/>
            <w:tcMar>
              <w:top w:w="100" w:type="dxa"/>
              <w:left w:w="100" w:type="dxa"/>
              <w:bottom w:w="100" w:type="dxa"/>
              <w:right w:w="100" w:type="dxa"/>
            </w:tcMar>
          </w:tcPr>
          <w:p w14:paraId="0EACBA47"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2245236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D292E2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49" w:type="dxa"/>
            <w:shd w:val="clear" w:color="auto" w:fill="auto"/>
            <w:tcMar>
              <w:top w:w="100" w:type="dxa"/>
              <w:left w:w="100" w:type="dxa"/>
              <w:bottom w:w="100" w:type="dxa"/>
              <w:right w:w="100" w:type="dxa"/>
            </w:tcMar>
          </w:tcPr>
          <w:p w14:paraId="6FDD925E"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6C3405AB"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16CC91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shd w:val="clear" w:color="auto" w:fill="auto"/>
            <w:tcMar>
              <w:top w:w="100" w:type="dxa"/>
              <w:left w:w="100" w:type="dxa"/>
              <w:bottom w:w="100" w:type="dxa"/>
              <w:right w:w="100" w:type="dxa"/>
            </w:tcMar>
          </w:tcPr>
          <w:p w14:paraId="556A5B0E"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6BF1175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2CA6C4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shd w:val="clear" w:color="auto" w:fill="auto"/>
            <w:tcMar>
              <w:top w:w="100" w:type="dxa"/>
              <w:left w:w="100" w:type="dxa"/>
              <w:bottom w:w="100" w:type="dxa"/>
              <w:right w:w="100" w:type="dxa"/>
            </w:tcMar>
          </w:tcPr>
          <w:p w14:paraId="4AA9B77D"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64A92FFB"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B1A4CA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shd w:val="clear" w:color="auto" w:fill="auto"/>
            <w:tcMar>
              <w:top w:w="100" w:type="dxa"/>
              <w:left w:w="100" w:type="dxa"/>
              <w:bottom w:w="100" w:type="dxa"/>
              <w:right w:w="100" w:type="dxa"/>
            </w:tcMar>
          </w:tcPr>
          <w:p w14:paraId="5AFADACF"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3825C48A"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9A2A8E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shd w:val="clear" w:color="auto" w:fill="auto"/>
            <w:tcMar>
              <w:top w:w="100" w:type="dxa"/>
              <w:left w:w="100" w:type="dxa"/>
              <w:bottom w:w="100" w:type="dxa"/>
              <w:right w:w="100" w:type="dxa"/>
            </w:tcMar>
          </w:tcPr>
          <w:p w14:paraId="00362493"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4301B92F"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BF1B143"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2A1203"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342A0D7A" w14:textId="77777777" w:rsidR="007356D6" w:rsidRDefault="007356D6">
      <w:pPr>
        <w:spacing w:line="240" w:lineRule="auto"/>
        <w:rPr>
          <w:rFonts w:ascii="Times New Roman" w:eastAsia="Times New Roman" w:hAnsi="Times New Roman" w:cs="Times New Roman"/>
          <w:sz w:val="24"/>
          <w:szCs w:val="24"/>
        </w:rPr>
      </w:pPr>
    </w:p>
    <w:p w14:paraId="4C53CD26" w14:textId="77777777" w:rsidR="007356D6" w:rsidRDefault="007356D6">
      <w:pPr>
        <w:spacing w:line="240" w:lineRule="auto"/>
        <w:rPr>
          <w:rFonts w:ascii="Times New Roman" w:eastAsia="Times New Roman" w:hAnsi="Times New Roman" w:cs="Times New Roman"/>
          <w:sz w:val="24"/>
          <w:szCs w:val="24"/>
        </w:rPr>
      </w:pPr>
    </w:p>
    <w:p w14:paraId="45F1FDC0" w14:textId="77777777" w:rsidR="007356D6" w:rsidRDefault="007356D6">
      <w:pPr>
        <w:spacing w:line="240" w:lineRule="auto"/>
        <w:rPr>
          <w:rFonts w:ascii="Times New Roman" w:eastAsia="Times New Roman" w:hAnsi="Times New Roman" w:cs="Times New Roman"/>
          <w:sz w:val="24"/>
          <w:szCs w:val="24"/>
        </w:rPr>
      </w:pPr>
    </w:p>
    <w:p w14:paraId="6FA08B82" w14:textId="77777777" w:rsidR="007356D6" w:rsidRDefault="00D7602D">
      <w:pPr>
        <w:numPr>
          <w:ilvl w:val="2"/>
          <w:numId w:val="56"/>
        </w:numPr>
        <w:spacing w:after="240"/>
      </w:pPr>
      <w:r>
        <w:rPr>
          <w:rFonts w:ascii="Times New Roman" w:eastAsia="Times New Roman" w:hAnsi="Times New Roman" w:cs="Times New Roman"/>
          <w:color w:val="38761D"/>
          <w:sz w:val="28"/>
          <w:szCs w:val="28"/>
        </w:rPr>
        <w:t>Preliminary conclusions and challenges for scaling/localisation (if any)</w:t>
      </w:r>
      <w:r>
        <w:rPr>
          <w:rFonts w:ascii="Times New Roman" w:eastAsia="Times New Roman" w:hAnsi="Times New Roman" w:cs="Times New Roman"/>
          <w:color w:val="38761D"/>
          <w:sz w:val="28"/>
          <w:szCs w:val="28"/>
        </w:rPr>
        <w:br/>
      </w:r>
    </w:p>
    <w:p w14:paraId="7D14F57B" w14:textId="77777777" w:rsidR="007356D6" w:rsidRDefault="00D7602D">
      <w:pPr>
        <w:spacing w:after="240"/>
        <w:rPr>
          <w:rFonts w:ascii="Times New Roman" w:eastAsia="Times New Roman" w:hAnsi="Times New Roman" w:cs="Times New Roman"/>
          <w:color w:val="38761D"/>
          <w:sz w:val="28"/>
          <w:szCs w:val="28"/>
        </w:rPr>
      </w:pPr>
      <w:r>
        <w:br w:type="page"/>
      </w:r>
    </w:p>
    <w:p w14:paraId="281A683F" w14:textId="77777777" w:rsidR="007356D6" w:rsidRDefault="00D7602D">
      <w:pPr>
        <w:pStyle w:val="Heading3"/>
        <w:numPr>
          <w:ilvl w:val="1"/>
          <w:numId w:val="56"/>
        </w:numPr>
        <w:spacing w:after="0"/>
      </w:pPr>
      <w:bookmarkStart w:id="30" w:name="_irzvzjln7cle" w:colFirst="0" w:colLast="0"/>
      <w:bookmarkEnd w:id="30"/>
      <w:r>
        <w:rPr>
          <w:rFonts w:ascii="Times New Roman" w:eastAsia="Times New Roman" w:hAnsi="Times New Roman" w:cs="Times New Roman"/>
          <w:color w:val="38761D"/>
        </w:rPr>
        <w:lastRenderedPageBreak/>
        <w:t>Exploring Digital inclusion</w:t>
      </w:r>
    </w:p>
    <w:p w14:paraId="181DF668" w14:textId="77777777" w:rsidR="007356D6" w:rsidRDefault="00D7602D">
      <w:pPr>
        <w:numPr>
          <w:ilvl w:val="2"/>
          <w:numId w:val="56"/>
        </w:numPr>
      </w:pPr>
      <w:r>
        <w:rPr>
          <w:rFonts w:ascii="Times New Roman" w:eastAsia="Times New Roman" w:hAnsi="Times New Roman" w:cs="Times New Roman"/>
          <w:color w:val="38761D"/>
          <w:sz w:val="28"/>
          <w:szCs w:val="28"/>
        </w:rPr>
        <w:t xml:space="preserve">Evaluation of selected new best practices </w:t>
      </w:r>
    </w:p>
    <w:p w14:paraId="5082AC20" w14:textId="77777777" w:rsidR="007356D6" w:rsidRDefault="00D7602D">
      <w:pPr>
        <w:numPr>
          <w:ilvl w:val="2"/>
          <w:numId w:val="56"/>
        </w:numPr>
        <w:spacing w:after="240"/>
        <w:jc w:val="both"/>
      </w:pPr>
      <w:r>
        <w:rPr>
          <w:rFonts w:ascii="Times New Roman" w:eastAsia="Times New Roman" w:hAnsi="Times New Roman" w:cs="Times New Roman"/>
          <w:color w:val="38761D"/>
          <w:sz w:val="28"/>
          <w:szCs w:val="28"/>
        </w:rPr>
        <w:t>Monitoring of the implementation of best practices experiences identified in 2023 and in previous years</w:t>
      </w:r>
    </w:p>
    <w:p w14:paraId="4012383E" w14:textId="77777777" w:rsidR="007356D6" w:rsidRDefault="00D760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subsection aims to showcase the development, successes and challenges faced by the good practices identified in the previous reports. The focal point of each case was directly contacted to provide information via a standard form as seen below.</w:t>
      </w:r>
    </w:p>
    <w:p w14:paraId="16047C97" w14:textId="77777777" w:rsidR="007356D6" w:rsidRDefault="007356D6"/>
    <w:p w14:paraId="452C6D12" w14:textId="77777777" w:rsidR="007356D6" w:rsidRDefault="00D7602D">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select</w:t>
      </w:r>
      <w:r>
        <w:rPr>
          <w:rFonts w:ascii="Times New Roman" w:eastAsia="Times New Roman" w:hAnsi="Times New Roman" w:cs="Times New Roman"/>
          <w:b/>
          <w:sz w:val="24"/>
          <w:szCs w:val="24"/>
        </w:rPr>
        <w:t>ed cases:</w:t>
      </w:r>
    </w:p>
    <w:p w14:paraId="54611890" w14:textId="77777777" w:rsidR="007356D6" w:rsidRDefault="007356D6">
      <w:pPr>
        <w:spacing w:after="240"/>
        <w:jc w:val="both"/>
        <w:rPr>
          <w:rFonts w:ascii="Times New Roman" w:eastAsia="Times New Roman" w:hAnsi="Times New Roman" w:cs="Times New Roman"/>
          <w:b/>
          <w:sz w:val="24"/>
          <w:szCs w:val="24"/>
        </w:rPr>
      </w:pPr>
    </w:p>
    <w:tbl>
      <w:tblPr>
        <w:tblStyle w:val="ac"/>
        <w:tblW w:w="9615" w:type="dxa"/>
        <w:tblBorders>
          <w:top w:val="nil"/>
          <w:left w:val="nil"/>
          <w:bottom w:val="nil"/>
          <w:right w:val="nil"/>
          <w:insideH w:val="nil"/>
          <w:insideV w:val="nil"/>
        </w:tblBorders>
        <w:tblLayout w:type="fixed"/>
        <w:tblLook w:val="0600" w:firstRow="0" w:lastRow="0" w:firstColumn="0" w:lastColumn="0" w:noHBand="1" w:noVBand="1"/>
      </w:tblPr>
      <w:tblGrid>
        <w:gridCol w:w="2565"/>
        <w:gridCol w:w="7050"/>
      </w:tblGrid>
      <w:tr w:rsidR="007356D6" w14:paraId="08402BD3" w14:textId="77777777">
        <w:trPr>
          <w:trHeight w:val="480"/>
        </w:trPr>
        <w:tc>
          <w:tcPr>
            <w:tcW w:w="2565" w:type="dxa"/>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2BF84207"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DI01:</w:t>
            </w:r>
          </w:p>
        </w:tc>
        <w:tc>
          <w:tcPr>
            <w:tcW w:w="7050" w:type="dxa"/>
            <w:tcBorders>
              <w:top w:val="single" w:sz="5" w:space="0" w:color="000000"/>
              <w:left w:val="nil"/>
              <w:bottom w:val="single" w:sz="5" w:space="0" w:color="000000"/>
              <w:right w:val="single" w:sz="5" w:space="0" w:color="000000"/>
            </w:tcBorders>
            <w:shd w:val="clear" w:color="auto" w:fill="CFE2F3"/>
            <w:tcMar>
              <w:top w:w="100" w:type="dxa"/>
              <w:left w:w="100" w:type="dxa"/>
              <w:bottom w:w="100" w:type="dxa"/>
              <w:right w:w="100" w:type="dxa"/>
            </w:tcMar>
          </w:tcPr>
          <w:p w14:paraId="6E09C7BA" w14:textId="77777777" w:rsidR="007356D6" w:rsidRDefault="00D7602D">
            <w:pPr>
              <w:spacing w:before="240" w:after="240"/>
              <w:ind w:left="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Finnish National eBook Platform</w:t>
            </w:r>
          </w:p>
        </w:tc>
      </w:tr>
      <w:tr w:rsidR="007356D6" w14:paraId="467D8E32" w14:textId="77777777">
        <w:trPr>
          <w:trHeight w:val="690"/>
        </w:trPr>
        <w:tc>
          <w:tcPr>
            <w:tcW w:w="2565" w:type="dxa"/>
            <w:tcBorders>
              <w:top w:val="nil"/>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14:paraId="20DDFDDE"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Presented at the 2023 PNMA Plenary Session:</w:t>
            </w:r>
          </w:p>
        </w:tc>
        <w:tc>
          <w:tcPr>
            <w:tcW w:w="7050" w:type="dxa"/>
            <w:tcBorders>
              <w:top w:val="nil"/>
              <w:left w:val="nil"/>
              <w:bottom w:val="single" w:sz="5" w:space="0" w:color="000000"/>
              <w:right w:val="single" w:sz="5" w:space="0" w:color="000000"/>
            </w:tcBorders>
            <w:shd w:val="clear" w:color="auto" w:fill="DBE5F1"/>
            <w:tcMar>
              <w:top w:w="100" w:type="dxa"/>
              <w:left w:w="100" w:type="dxa"/>
              <w:bottom w:w="100" w:type="dxa"/>
              <w:right w:w="100" w:type="dxa"/>
            </w:tcMar>
          </w:tcPr>
          <w:p w14:paraId="7F60FAAC"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7356D6" w14:paraId="0F85448B" w14:textId="77777777">
        <w:trPr>
          <w:trHeight w:val="450"/>
        </w:trPr>
        <w:tc>
          <w:tcPr>
            <w:tcW w:w="25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9C4FBCA"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050" w:type="dxa"/>
            <w:tcBorders>
              <w:top w:val="nil"/>
              <w:left w:val="nil"/>
              <w:bottom w:val="single" w:sz="5" w:space="0" w:color="000000"/>
              <w:right w:val="single" w:sz="5" w:space="0" w:color="000000"/>
            </w:tcBorders>
            <w:tcMar>
              <w:top w:w="100" w:type="dxa"/>
              <w:left w:w="100" w:type="dxa"/>
              <w:bottom w:w="100" w:type="dxa"/>
              <w:right w:w="100" w:type="dxa"/>
            </w:tcMar>
          </w:tcPr>
          <w:p w14:paraId="74FC563C"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Finland (national)</w:t>
            </w:r>
          </w:p>
        </w:tc>
      </w:tr>
      <w:tr w:rsidR="007356D6" w14:paraId="14E9889C" w14:textId="77777777">
        <w:trPr>
          <w:trHeight w:val="690"/>
        </w:trPr>
        <w:tc>
          <w:tcPr>
            <w:tcW w:w="25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6A34F02"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050" w:type="dxa"/>
            <w:tcBorders>
              <w:top w:val="nil"/>
              <w:left w:val="nil"/>
              <w:bottom w:val="single" w:sz="5" w:space="0" w:color="000000"/>
              <w:right w:val="single" w:sz="5" w:space="0" w:color="000000"/>
            </w:tcBorders>
            <w:tcMar>
              <w:top w:w="100" w:type="dxa"/>
              <w:left w:w="100" w:type="dxa"/>
              <w:bottom w:w="100" w:type="dxa"/>
              <w:right w:w="100" w:type="dxa"/>
            </w:tcMar>
          </w:tcPr>
          <w:p w14:paraId="421AB048"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years of national government funding as set up costs, with the intention that this is then taken on by local governments</w:t>
            </w:r>
          </w:p>
        </w:tc>
      </w:tr>
      <w:tr w:rsidR="007356D6" w14:paraId="3439B8C3" w14:textId="77777777">
        <w:trPr>
          <w:trHeight w:val="690"/>
        </w:trPr>
        <w:tc>
          <w:tcPr>
            <w:tcW w:w="25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E2A82F7"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050" w:type="dxa"/>
            <w:tcBorders>
              <w:top w:val="nil"/>
              <w:left w:val="nil"/>
              <w:bottom w:val="single" w:sz="5" w:space="0" w:color="000000"/>
              <w:right w:val="single" w:sz="5" w:space="0" w:color="000000"/>
            </w:tcBorders>
            <w:tcMar>
              <w:top w:w="100" w:type="dxa"/>
              <w:left w:w="100" w:type="dxa"/>
              <w:bottom w:w="100" w:type="dxa"/>
              <w:right w:w="100" w:type="dxa"/>
            </w:tcMar>
          </w:tcPr>
          <w:p w14:paraId="1FEF23B6"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Library of Finland, City of Helsinki, conference of library directors</w:t>
            </w:r>
          </w:p>
        </w:tc>
      </w:tr>
      <w:tr w:rsidR="007356D6" w14:paraId="0D49AACB" w14:textId="77777777">
        <w:trPr>
          <w:trHeight w:val="5490"/>
        </w:trPr>
        <w:tc>
          <w:tcPr>
            <w:tcW w:w="25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571DACC"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What i</w:t>
            </w:r>
            <w:r>
              <w:rPr>
                <w:rFonts w:ascii="Times New Roman" w:eastAsia="Times New Roman" w:hAnsi="Times New Roman" w:cs="Times New Roman"/>
                <w:b/>
                <w:sz w:val="20"/>
                <w:szCs w:val="20"/>
              </w:rPr>
              <w:t>s the problem?</w:t>
            </w:r>
          </w:p>
        </w:tc>
        <w:tc>
          <w:tcPr>
            <w:tcW w:w="7050" w:type="dxa"/>
            <w:tcBorders>
              <w:top w:val="nil"/>
              <w:left w:val="nil"/>
              <w:bottom w:val="single" w:sz="5" w:space="0" w:color="000000"/>
              <w:right w:val="single" w:sz="5" w:space="0" w:color="000000"/>
            </w:tcBorders>
            <w:tcMar>
              <w:top w:w="100" w:type="dxa"/>
              <w:left w:w="100" w:type="dxa"/>
              <w:bottom w:w="100" w:type="dxa"/>
              <w:right w:w="100" w:type="dxa"/>
            </w:tcMar>
          </w:tcPr>
          <w:p w14:paraId="1BE3824D"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eBooks offer a powerful tool for bringing new and more diverse voices to the public, allowing people across the population to access materials that are relevant to them, their experiences and their needs. However, in Finland, there was no ce</w:t>
            </w:r>
            <w:r>
              <w:rPr>
                <w:rFonts w:ascii="Times New Roman" w:eastAsia="Times New Roman" w:hAnsi="Times New Roman" w:cs="Times New Roman"/>
                <w:sz w:val="20"/>
                <w:szCs w:val="20"/>
              </w:rPr>
              <w:t xml:space="preserve">ntralised support for the development of an eBook offer in libraries, meaning that the level of access varied strongly from one region and town to another. This led, in effect, to different levels of possibility to benefit from what the internet can bring </w:t>
            </w:r>
            <w:r>
              <w:rPr>
                <w:rFonts w:ascii="Times New Roman" w:eastAsia="Times New Roman" w:hAnsi="Times New Roman" w:cs="Times New Roman"/>
                <w:sz w:val="20"/>
                <w:szCs w:val="20"/>
              </w:rPr>
              <w:t>in terms of access to information and the fulfilment of cultural rights.</w:t>
            </w:r>
          </w:p>
          <w:p w14:paraId="020A94AD"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AF65603"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Is it a Rural / Urban setting? Libraries in rural areas tended to have a smaller (or no) offer, and so while the programme is national, it will tend to benefit people in rural are</w:t>
            </w:r>
            <w:r>
              <w:rPr>
                <w:rFonts w:ascii="Times New Roman" w:eastAsia="Times New Roman" w:hAnsi="Times New Roman" w:cs="Times New Roman"/>
                <w:sz w:val="20"/>
                <w:szCs w:val="20"/>
              </w:rPr>
              <w:t>as more.</w:t>
            </w:r>
          </w:p>
          <w:p w14:paraId="074E8E88"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Is there a gender focus? Not explicitly, but libraries tend to be more used by women.</w:t>
            </w:r>
          </w:p>
          <w:p w14:paraId="6BBEAEED"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What were the services provided, subsidies used, anything else worth sharing? The programme is still in development, but the goal is to develop a platform th</w:t>
            </w:r>
            <w:r>
              <w:rPr>
                <w:rFonts w:ascii="Times New Roman" w:eastAsia="Times New Roman" w:hAnsi="Times New Roman" w:cs="Times New Roman"/>
                <w:sz w:val="20"/>
                <w:szCs w:val="20"/>
              </w:rPr>
              <w:t>at libraires across the country can use, and then choose which content is best suited to the needs and interests of their users. It is a good example of combining a new digital service with the pre-existing library network.</w:t>
            </w:r>
          </w:p>
        </w:tc>
      </w:tr>
      <w:tr w:rsidR="007356D6" w14:paraId="6F8C3D2D" w14:textId="77777777">
        <w:trPr>
          <w:trHeight w:val="1410"/>
        </w:trPr>
        <w:tc>
          <w:tcPr>
            <w:tcW w:w="25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E29E86A"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050" w:type="dxa"/>
            <w:tcBorders>
              <w:top w:val="nil"/>
              <w:left w:val="nil"/>
              <w:bottom w:val="single" w:sz="5" w:space="0" w:color="000000"/>
              <w:right w:val="single" w:sz="5" w:space="0" w:color="000000"/>
            </w:tcBorders>
            <w:tcMar>
              <w:top w:w="100" w:type="dxa"/>
              <w:left w:w="100" w:type="dxa"/>
              <w:bottom w:w="100" w:type="dxa"/>
              <w:right w:w="100" w:type="dxa"/>
            </w:tcMar>
          </w:tcPr>
          <w:p w14:paraId="08C60CF8"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creation of a new platform, and efforts to negotiate with publishers in order to include content. Unfortunately, some publishers have tended to resist here, meaning that those people who rely on l</w:t>
            </w:r>
            <w:r>
              <w:rPr>
                <w:rFonts w:ascii="Times New Roman" w:eastAsia="Times New Roman" w:hAnsi="Times New Roman" w:cs="Times New Roman"/>
                <w:sz w:val="20"/>
                <w:szCs w:val="20"/>
              </w:rPr>
              <w:t>ibraries to access eBooks over the internet are left out.</w:t>
            </w:r>
          </w:p>
          <w:p w14:paraId="30EC2D22"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7356D6" w14:paraId="518A6089" w14:textId="77777777">
        <w:trPr>
          <w:trHeight w:val="1410"/>
        </w:trPr>
        <w:tc>
          <w:tcPr>
            <w:tcW w:w="25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213E0A7"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050" w:type="dxa"/>
            <w:tcBorders>
              <w:top w:val="nil"/>
              <w:left w:val="nil"/>
              <w:bottom w:val="single" w:sz="5" w:space="0" w:color="000000"/>
              <w:right w:val="single" w:sz="5" w:space="0" w:color="000000"/>
            </w:tcBorders>
            <w:tcMar>
              <w:top w:w="100" w:type="dxa"/>
              <w:left w:w="100" w:type="dxa"/>
              <w:bottom w:w="100" w:type="dxa"/>
              <w:right w:w="100" w:type="dxa"/>
            </w:tcMar>
          </w:tcPr>
          <w:p w14:paraId="7F9E69DD"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Results and Impact: this project is still underway.</w:t>
            </w:r>
          </w:p>
          <w:p w14:paraId="7B504595"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Lessons learned (what worked / remaining challenges): an early conclusion is that it is important to ensure that copyright laws cannot be used by publishers to deny libraries the possibility to lend eBooks, guided only by their professional judgement.</w:t>
            </w:r>
          </w:p>
        </w:tc>
      </w:tr>
    </w:tbl>
    <w:p w14:paraId="44A647E7" w14:textId="77777777" w:rsidR="007356D6" w:rsidRDefault="007356D6">
      <w:pPr>
        <w:spacing w:line="240" w:lineRule="auto"/>
        <w:rPr>
          <w:rFonts w:ascii="Times New Roman" w:eastAsia="Times New Roman" w:hAnsi="Times New Roman" w:cs="Times New Roman"/>
        </w:rPr>
      </w:pPr>
    </w:p>
    <w:tbl>
      <w:tblPr>
        <w:tblStyle w:val="ad"/>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294CFB2D" w14:textId="77777777">
        <w:trPr>
          <w:trHeight w:val="420"/>
        </w:trPr>
        <w:tc>
          <w:tcPr>
            <w:tcW w:w="10140" w:type="dxa"/>
            <w:gridSpan w:val="2"/>
            <w:shd w:val="clear" w:color="auto" w:fill="CFE2F3"/>
            <w:tcMar>
              <w:top w:w="100" w:type="dxa"/>
              <w:left w:w="100" w:type="dxa"/>
              <w:bottom w:w="100" w:type="dxa"/>
              <w:right w:w="100" w:type="dxa"/>
            </w:tcMar>
          </w:tcPr>
          <w:p w14:paraId="3A21447B" w14:textId="77777777" w:rsidR="007356D6" w:rsidRDefault="00D7602D">
            <w:pPr>
              <w:spacing w:line="240" w:lineRule="auto"/>
              <w:jc w:val="center"/>
              <w:rPr>
                <w:b/>
              </w:rPr>
            </w:pPr>
            <w:r>
              <w:rPr>
                <w:b/>
              </w:rPr>
              <w:t xml:space="preserve">Follow-up on </w:t>
            </w:r>
            <w:r>
              <w:rPr>
                <w:b/>
                <w:highlight w:val="green"/>
              </w:rPr>
              <w:t>[write date]</w:t>
            </w:r>
          </w:p>
        </w:tc>
      </w:tr>
      <w:tr w:rsidR="007356D6" w14:paraId="790B369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94CB4A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shd w:val="clear" w:color="auto" w:fill="auto"/>
            <w:tcMar>
              <w:top w:w="100" w:type="dxa"/>
              <w:left w:w="100" w:type="dxa"/>
              <w:bottom w:w="100" w:type="dxa"/>
              <w:right w:w="100" w:type="dxa"/>
            </w:tcMar>
          </w:tcPr>
          <w:p w14:paraId="5EBC4E0D"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13AFEE6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E393D7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shd w:val="clear" w:color="auto" w:fill="auto"/>
            <w:tcMar>
              <w:top w:w="100" w:type="dxa"/>
              <w:left w:w="100" w:type="dxa"/>
              <w:bottom w:w="100" w:type="dxa"/>
              <w:right w:w="100" w:type="dxa"/>
            </w:tcMar>
          </w:tcPr>
          <w:p w14:paraId="34F770D2"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2413A8EB"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F5A7FA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Do 2022/2023 solutions still work to tackle the problem? New solutions needed to be developed?</w:t>
            </w:r>
          </w:p>
        </w:tc>
        <w:tc>
          <w:tcPr>
            <w:tcW w:w="7749" w:type="dxa"/>
            <w:shd w:val="clear" w:color="auto" w:fill="auto"/>
            <w:tcMar>
              <w:top w:w="100" w:type="dxa"/>
              <w:left w:w="100" w:type="dxa"/>
              <w:bottom w:w="100" w:type="dxa"/>
              <w:right w:w="100" w:type="dxa"/>
            </w:tcMar>
          </w:tcPr>
          <w:p w14:paraId="2DE0CC8A"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0E91A4D9"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144109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shd w:val="clear" w:color="auto" w:fill="auto"/>
            <w:tcMar>
              <w:top w:w="100" w:type="dxa"/>
              <w:left w:w="100" w:type="dxa"/>
              <w:bottom w:w="100" w:type="dxa"/>
              <w:right w:w="100" w:type="dxa"/>
            </w:tcMar>
          </w:tcPr>
          <w:p w14:paraId="4B3D6D29"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7EAEE5C1"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46DE25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shd w:val="clear" w:color="auto" w:fill="auto"/>
            <w:tcMar>
              <w:top w:w="100" w:type="dxa"/>
              <w:left w:w="100" w:type="dxa"/>
              <w:bottom w:w="100" w:type="dxa"/>
              <w:right w:w="100" w:type="dxa"/>
            </w:tcMar>
          </w:tcPr>
          <w:p w14:paraId="0690DE5A"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2B34B461"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6B10CC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shd w:val="clear" w:color="auto" w:fill="auto"/>
            <w:tcMar>
              <w:top w:w="100" w:type="dxa"/>
              <w:left w:w="100" w:type="dxa"/>
              <w:bottom w:w="100" w:type="dxa"/>
              <w:right w:w="100" w:type="dxa"/>
            </w:tcMar>
          </w:tcPr>
          <w:p w14:paraId="21433AD5"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7BE3816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FF8AD2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shd w:val="clear" w:color="auto" w:fill="auto"/>
            <w:tcMar>
              <w:top w:w="100" w:type="dxa"/>
              <w:left w:w="100" w:type="dxa"/>
              <w:bottom w:w="100" w:type="dxa"/>
              <w:right w:w="100" w:type="dxa"/>
            </w:tcMar>
          </w:tcPr>
          <w:p w14:paraId="221788B0"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324644A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1E858D5"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A4CC81"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4CC3D78A" w14:textId="77777777" w:rsidR="007356D6" w:rsidRDefault="007356D6">
      <w:pPr>
        <w:spacing w:after="240"/>
        <w:jc w:val="both"/>
        <w:rPr>
          <w:rFonts w:ascii="Times New Roman" w:eastAsia="Times New Roman" w:hAnsi="Times New Roman" w:cs="Times New Roman"/>
          <w:b/>
          <w:sz w:val="24"/>
          <w:szCs w:val="24"/>
        </w:rPr>
      </w:pPr>
    </w:p>
    <w:p w14:paraId="10309710" w14:textId="77777777" w:rsidR="007356D6" w:rsidRDefault="007356D6">
      <w:pPr>
        <w:spacing w:after="240"/>
        <w:jc w:val="both"/>
        <w:rPr>
          <w:rFonts w:ascii="Times New Roman" w:eastAsia="Times New Roman" w:hAnsi="Times New Roman" w:cs="Times New Roman"/>
          <w:b/>
          <w:sz w:val="24"/>
          <w:szCs w:val="24"/>
        </w:rPr>
      </w:pPr>
    </w:p>
    <w:p w14:paraId="331FF0B1" w14:textId="77777777" w:rsidR="007356D6" w:rsidRDefault="00D7602D">
      <w:pPr>
        <w:spacing w:after="240"/>
        <w:jc w:val="both"/>
      </w:pPr>
      <w:r>
        <w:rPr>
          <w:rFonts w:ascii="Times New Roman" w:eastAsia="Times New Roman" w:hAnsi="Times New Roman" w:cs="Times New Roman"/>
          <w:b/>
          <w:sz w:val="24"/>
          <w:szCs w:val="24"/>
        </w:rPr>
        <w:t xml:space="preserve">2022 selected cases: </w:t>
      </w:r>
    </w:p>
    <w:p w14:paraId="6B6192C3" w14:textId="77777777" w:rsidR="007356D6" w:rsidRDefault="007356D6"/>
    <w:tbl>
      <w:tblPr>
        <w:tblStyle w:val="ae"/>
        <w:tblW w:w="9630" w:type="dxa"/>
        <w:tblBorders>
          <w:top w:val="nil"/>
          <w:left w:val="nil"/>
          <w:bottom w:val="nil"/>
          <w:right w:val="nil"/>
          <w:insideH w:val="nil"/>
          <w:insideV w:val="nil"/>
        </w:tblBorders>
        <w:tblLayout w:type="fixed"/>
        <w:tblLook w:val="0600" w:firstRow="0" w:lastRow="0" w:firstColumn="0" w:lastColumn="0" w:noHBand="1" w:noVBand="1"/>
      </w:tblPr>
      <w:tblGrid>
        <w:gridCol w:w="2403"/>
        <w:gridCol w:w="7227"/>
      </w:tblGrid>
      <w:tr w:rsidR="007356D6" w14:paraId="7F55C762" w14:textId="77777777">
        <w:trPr>
          <w:trHeight w:val="535"/>
        </w:trPr>
        <w:tc>
          <w:tcPr>
            <w:tcW w:w="963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948223A"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2022 selected case</w:t>
            </w:r>
          </w:p>
        </w:tc>
      </w:tr>
      <w:tr w:rsidR="007356D6" w14:paraId="72484C42" w14:textId="77777777">
        <w:trPr>
          <w:trHeight w:val="535"/>
        </w:trPr>
        <w:tc>
          <w:tcPr>
            <w:tcW w:w="2403" w:type="dxa"/>
            <w:tcBorders>
              <w:top w:val="single" w:sz="6"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8CF0346" w14:textId="77777777" w:rsidR="007356D6" w:rsidRDefault="00D7602D">
            <w:pPr>
              <w:spacing w:line="240" w:lineRule="auto"/>
              <w:rPr>
                <w:rFonts w:ascii="Times New Roman" w:eastAsia="Times New Roman" w:hAnsi="Times New Roman" w:cs="Times New Roman"/>
                <w:b/>
              </w:rPr>
            </w:pPr>
            <w:r>
              <w:rPr>
                <w:rFonts w:ascii="Times New Roman" w:eastAsia="Times New Roman" w:hAnsi="Times New Roman" w:cs="Times New Roman"/>
                <w:b/>
              </w:rPr>
              <w:t>Case 1:</w:t>
            </w:r>
          </w:p>
        </w:tc>
        <w:tc>
          <w:tcPr>
            <w:tcW w:w="7227" w:type="dxa"/>
            <w:tcBorders>
              <w:top w:val="single" w:sz="6"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58BD53E5"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The Digital Music Market in West Africa</w:t>
            </w:r>
          </w:p>
        </w:tc>
      </w:tr>
      <w:tr w:rsidR="007356D6" w14:paraId="1053D604" w14:textId="77777777">
        <w:trPr>
          <w:trHeight w:val="420"/>
        </w:trPr>
        <w:tc>
          <w:tcPr>
            <w:tcW w:w="2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A27889"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227" w:type="dxa"/>
            <w:tcBorders>
              <w:top w:val="nil"/>
              <w:left w:val="nil"/>
              <w:bottom w:val="single" w:sz="8" w:space="0" w:color="000000"/>
              <w:right w:val="single" w:sz="8" w:space="0" w:color="000000"/>
            </w:tcBorders>
            <w:tcMar>
              <w:top w:w="100" w:type="dxa"/>
              <w:left w:w="100" w:type="dxa"/>
              <w:bottom w:w="100" w:type="dxa"/>
              <w:right w:w="100" w:type="dxa"/>
            </w:tcMar>
          </w:tcPr>
          <w:p w14:paraId="25F703A7" w14:textId="77777777" w:rsidR="007356D6" w:rsidRDefault="00D7602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West Africa</w:t>
            </w:r>
          </w:p>
        </w:tc>
      </w:tr>
      <w:tr w:rsidR="007356D6" w14:paraId="171496A8" w14:textId="77777777">
        <w:trPr>
          <w:trHeight w:val="405"/>
        </w:trPr>
        <w:tc>
          <w:tcPr>
            <w:tcW w:w="2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4621B4"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227" w:type="dxa"/>
            <w:tcBorders>
              <w:top w:val="nil"/>
              <w:left w:val="nil"/>
              <w:bottom w:val="single" w:sz="8" w:space="0" w:color="000000"/>
              <w:right w:val="single" w:sz="8" w:space="0" w:color="000000"/>
            </w:tcBorders>
            <w:tcMar>
              <w:top w:w="100" w:type="dxa"/>
              <w:left w:w="100" w:type="dxa"/>
              <w:bottom w:w="100" w:type="dxa"/>
              <w:right w:w="100" w:type="dxa"/>
            </w:tcMar>
          </w:tcPr>
          <w:p w14:paraId="4C87F6D1" w14:textId="77777777" w:rsidR="007356D6" w:rsidRDefault="00D7602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rsidRPr="00BB0B18" w14:paraId="5C78635D" w14:textId="77777777">
        <w:trPr>
          <w:trHeight w:val="923"/>
        </w:trPr>
        <w:tc>
          <w:tcPr>
            <w:tcW w:w="2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E45FA2"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227" w:type="dxa"/>
            <w:tcBorders>
              <w:top w:val="nil"/>
              <w:left w:val="nil"/>
              <w:bottom w:val="single" w:sz="8" w:space="0" w:color="000000"/>
              <w:right w:val="single" w:sz="8" w:space="0" w:color="000000"/>
            </w:tcBorders>
            <w:tcMar>
              <w:top w:w="100" w:type="dxa"/>
              <w:left w:w="100" w:type="dxa"/>
              <w:bottom w:w="100" w:type="dxa"/>
              <w:right w:w="100" w:type="dxa"/>
            </w:tcMar>
          </w:tcPr>
          <w:p w14:paraId="533590F5" w14:textId="77777777" w:rsidR="007356D6" w:rsidRDefault="00D7602D">
            <w:pPr>
              <w:numPr>
                <w:ilvl w:val="0"/>
                <w:numId w:val="6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WIPO</w:t>
            </w:r>
          </w:p>
          <w:p w14:paraId="4906EF4E" w14:textId="77777777" w:rsidR="007356D6" w:rsidRDefault="00D7602D">
            <w:pPr>
              <w:numPr>
                <w:ilvl w:val="0"/>
                <w:numId w:val="6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Local governments - Ministries of Culture</w:t>
            </w:r>
          </w:p>
          <w:p w14:paraId="2A17572F" w14:textId="77777777" w:rsidR="007356D6" w:rsidRPr="00BB0B18" w:rsidRDefault="00D7602D">
            <w:pPr>
              <w:numPr>
                <w:ilvl w:val="1"/>
                <w:numId w:val="62"/>
              </w:numPr>
              <w:spacing w:line="240" w:lineRule="auto"/>
              <w:jc w:val="both"/>
              <w:rPr>
                <w:rFonts w:ascii="Times New Roman" w:eastAsia="Times New Roman" w:hAnsi="Times New Roman" w:cs="Times New Roman"/>
                <w:sz w:val="20"/>
                <w:szCs w:val="20"/>
                <w:lang w:val="it-IT"/>
              </w:rPr>
            </w:pPr>
            <w:r w:rsidRPr="00BB0B18">
              <w:rPr>
                <w:rFonts w:ascii="Times New Roman" w:eastAsia="Times New Roman" w:hAnsi="Times New Roman" w:cs="Times New Roman"/>
                <w:sz w:val="20"/>
                <w:szCs w:val="20"/>
                <w:lang w:val="it-IT"/>
              </w:rPr>
              <w:t>Focal point: Paolo Lanteri, WIPO</w:t>
            </w:r>
          </w:p>
        </w:tc>
      </w:tr>
      <w:tr w:rsidR="007356D6" w14:paraId="0B5668CE" w14:textId="77777777">
        <w:trPr>
          <w:trHeight w:val="1005"/>
        </w:trPr>
        <w:tc>
          <w:tcPr>
            <w:tcW w:w="2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88D6F5"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What is the problem?</w:t>
            </w:r>
          </w:p>
        </w:tc>
        <w:tc>
          <w:tcPr>
            <w:tcW w:w="7227" w:type="dxa"/>
            <w:tcBorders>
              <w:top w:val="nil"/>
              <w:left w:val="nil"/>
              <w:bottom w:val="single" w:sz="8" w:space="0" w:color="000000"/>
              <w:right w:val="single" w:sz="8" w:space="0" w:color="000000"/>
            </w:tcBorders>
            <w:tcMar>
              <w:top w:w="100" w:type="dxa"/>
              <w:left w:w="100" w:type="dxa"/>
              <w:bottom w:w="100" w:type="dxa"/>
              <w:right w:w="100" w:type="dxa"/>
            </w:tcMar>
          </w:tcPr>
          <w:p w14:paraId="49AB2542" w14:textId="77777777" w:rsidR="007356D6" w:rsidRDefault="00D7602D">
            <w:pPr>
              <w:numPr>
                <w:ilvl w:val="0"/>
                <w:numId w:val="3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African music is becoming an essential element in local creative economies, al</w:t>
            </w:r>
            <w:r>
              <w:rPr>
                <w:rFonts w:ascii="Times New Roman" w:eastAsia="Times New Roman" w:hAnsi="Times New Roman" w:cs="Times New Roman"/>
                <w:sz w:val="20"/>
                <w:szCs w:val="20"/>
              </w:rPr>
              <w:t>beit without user/creator knowledge about communication tools or business models in digital technology.</w:t>
            </w:r>
          </w:p>
          <w:p w14:paraId="45C12DEB" w14:textId="77777777" w:rsidR="007356D6" w:rsidRDefault="00D7602D">
            <w:pPr>
              <w:numPr>
                <w:ilvl w:val="0"/>
                <w:numId w:val="36"/>
              </w:num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The lack of more interest in content distribution is due to the low income</w:t>
            </w:r>
            <w:r>
              <w:rPr>
                <w:rFonts w:ascii="Times New Roman" w:eastAsia="Times New Roman" w:hAnsi="Times New Roman" w:cs="Times New Roman"/>
                <w:sz w:val="20"/>
                <w:szCs w:val="20"/>
              </w:rPr>
              <w:t xml:space="preserve"> of music </w:t>
            </w:r>
            <w:r>
              <w:rPr>
                <w:rFonts w:ascii="Times New Roman" w:eastAsia="Times New Roman" w:hAnsi="Times New Roman" w:cs="Times New Roman"/>
                <w:sz w:val="20"/>
                <w:szCs w:val="20"/>
                <w:highlight w:val="white"/>
              </w:rPr>
              <w:t>sector stakeholders and the restrictive value chain imposed by telecom operators, indispensable for network access and mobile payment means.</w:t>
            </w:r>
          </w:p>
          <w:p w14:paraId="1F0B5B27" w14:textId="77777777" w:rsidR="007356D6" w:rsidRDefault="00D7602D">
            <w:pPr>
              <w:numPr>
                <w:ilvl w:val="0"/>
                <w:numId w:val="36"/>
              </w:num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Given low rates of banking, music downloading and/or streaming, services are purchased via postpaid telep</w:t>
            </w:r>
            <w:r>
              <w:rPr>
                <w:rFonts w:ascii="Times New Roman" w:eastAsia="Times New Roman" w:hAnsi="Times New Roman" w:cs="Times New Roman"/>
                <w:sz w:val="20"/>
                <w:szCs w:val="20"/>
                <w:highlight w:val="white"/>
              </w:rPr>
              <w:t>hone credit or mobile money. With telecoms involved, the value chain costs are over 63% bigger than the copyright royalties, with the remaining balance going to platforms and producers.</w:t>
            </w:r>
          </w:p>
          <w:p w14:paraId="11B4A549" w14:textId="77777777" w:rsidR="007356D6" w:rsidRDefault="00D7602D">
            <w:pPr>
              <w:numPr>
                <w:ilvl w:val="0"/>
                <w:numId w:val="36"/>
              </w:num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Internet coverage and access are relatively limited in West Africa, at</w:t>
            </w:r>
            <w:r>
              <w:rPr>
                <w:rFonts w:ascii="Times New Roman" w:eastAsia="Times New Roman" w:hAnsi="Times New Roman" w:cs="Times New Roman"/>
                <w:sz w:val="20"/>
                <w:szCs w:val="20"/>
                <w:highlight w:val="white"/>
              </w:rPr>
              <w:t xml:space="preserve"> least until the arrival of 4G, social networks and access to low-cost smartphones. Mobile telecom operators use music as leverage to attract more users to their data packages.</w:t>
            </w:r>
          </w:p>
          <w:p w14:paraId="5A35AB3F" w14:textId="77777777" w:rsidR="007356D6" w:rsidRDefault="00D7602D">
            <w:pPr>
              <w:numPr>
                <w:ilvl w:val="0"/>
                <w:numId w:val="3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Specifics</w:t>
            </w:r>
          </w:p>
          <w:p w14:paraId="57F785E6" w14:textId="77777777" w:rsidR="007356D6" w:rsidRDefault="00D7602D">
            <w:pPr>
              <w:numPr>
                <w:ilvl w:val="1"/>
                <w:numId w:val="36"/>
              </w:num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International platforms lack interest in the specificities of African music.</w:t>
            </w:r>
          </w:p>
          <w:p w14:paraId="4DD8A59D" w14:textId="77777777" w:rsidR="007356D6" w:rsidRDefault="00D7602D">
            <w:pPr>
              <w:numPr>
                <w:ilvl w:val="1"/>
                <w:numId w:val="36"/>
              </w:num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There is no special attention in state cultural policies to supervising, legislating and promoting guarantees for private investment in the music industry.</w:t>
            </w:r>
          </w:p>
        </w:tc>
      </w:tr>
      <w:tr w:rsidR="007356D6" w14:paraId="6BABB305" w14:textId="77777777">
        <w:trPr>
          <w:trHeight w:val="1143"/>
        </w:trPr>
        <w:tc>
          <w:tcPr>
            <w:tcW w:w="2403" w:type="dxa"/>
            <w:tcBorders>
              <w:top w:val="nil"/>
              <w:left w:val="single" w:sz="8" w:space="0" w:color="000000"/>
              <w:bottom w:val="single" w:sz="6" w:space="0" w:color="000000"/>
              <w:right w:val="single" w:sz="8" w:space="0" w:color="000000"/>
            </w:tcBorders>
            <w:tcMar>
              <w:top w:w="100" w:type="dxa"/>
              <w:left w:w="100" w:type="dxa"/>
              <w:bottom w:w="100" w:type="dxa"/>
              <w:right w:w="100" w:type="dxa"/>
            </w:tcMar>
          </w:tcPr>
          <w:p w14:paraId="0CFF687A"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w:t>
            </w:r>
            <w:r>
              <w:rPr>
                <w:rFonts w:ascii="Times New Roman" w:eastAsia="Times New Roman" w:hAnsi="Times New Roman" w:cs="Times New Roman"/>
                <w:b/>
                <w:sz w:val="20"/>
                <w:szCs w:val="20"/>
              </w:rPr>
              <w:t xml:space="preserve"> taken to address the problem(s)?</w:t>
            </w:r>
          </w:p>
        </w:tc>
        <w:tc>
          <w:tcPr>
            <w:tcW w:w="7227" w:type="dxa"/>
            <w:tcBorders>
              <w:top w:val="nil"/>
              <w:left w:val="nil"/>
              <w:bottom w:val="single" w:sz="6" w:space="0" w:color="000000"/>
              <w:right w:val="single" w:sz="8" w:space="0" w:color="000000"/>
            </w:tcBorders>
            <w:tcMar>
              <w:top w:w="100" w:type="dxa"/>
              <w:left w:w="100" w:type="dxa"/>
              <w:bottom w:w="100" w:type="dxa"/>
              <w:right w:w="100" w:type="dxa"/>
            </w:tcMar>
          </w:tcPr>
          <w:p w14:paraId="3D57C84B" w14:textId="77777777" w:rsidR="007356D6" w:rsidRDefault="00D7602D">
            <w:pPr>
              <w:numPr>
                <w:ilvl w:val="0"/>
                <w:numId w:val="5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Transition to digital transformation through digital music platforms created by Africans for Africans. Local platforms are solutions that are suited to an appropriate (fee-based) premium subscription for local music and ar</w:t>
            </w:r>
            <w:r>
              <w:rPr>
                <w:rFonts w:ascii="Times New Roman" w:eastAsia="Times New Roman" w:hAnsi="Times New Roman" w:cs="Times New Roman"/>
                <w:sz w:val="20"/>
                <w:szCs w:val="20"/>
              </w:rPr>
              <w:t>e different from international streaming services and traditional social networks.</w:t>
            </w:r>
          </w:p>
        </w:tc>
      </w:tr>
      <w:tr w:rsidR="007356D6" w14:paraId="50E23AD3" w14:textId="77777777">
        <w:trPr>
          <w:trHeight w:val="435"/>
        </w:trPr>
        <w:tc>
          <w:tcPr>
            <w:tcW w:w="963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4FFB57D" w14:textId="77777777" w:rsidR="007356D6" w:rsidRDefault="00D7602D">
            <w:pPr>
              <w:spacing w:line="240" w:lineRule="auto"/>
              <w:jc w:val="center"/>
              <w:rPr>
                <w:b/>
              </w:rPr>
            </w:pPr>
            <w:r>
              <w:rPr>
                <w:b/>
              </w:rPr>
              <w:t xml:space="preserve">Follow-up on </w:t>
            </w:r>
            <w:r>
              <w:rPr>
                <w:b/>
                <w:highlight w:val="green"/>
              </w:rPr>
              <w:t>[write date]</w:t>
            </w:r>
          </w:p>
        </w:tc>
      </w:tr>
      <w:tr w:rsidR="007356D6" w14:paraId="1DA040A4" w14:textId="77777777">
        <w:trPr>
          <w:trHeight w:val="570"/>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1F7964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4C2124" w14:textId="77777777" w:rsidR="007356D6" w:rsidRDefault="00D7602D">
            <w:pPr>
              <w:numPr>
                <w:ilvl w:val="0"/>
                <w:numId w:val="2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4F96BBF7" w14:textId="77777777">
        <w:trPr>
          <w:trHeight w:val="764"/>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7DC8FE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89267F"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05A1BEC" w14:textId="77777777">
        <w:trPr>
          <w:trHeight w:val="904"/>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4B5C6C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9878A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262503E" w14:textId="77777777">
        <w:trPr>
          <w:trHeight w:val="510"/>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BEE2AD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EE488F"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870350E" w14:textId="77777777">
        <w:trPr>
          <w:trHeight w:val="435"/>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0AD408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905095"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7BB6E976" w14:textId="77777777">
        <w:trPr>
          <w:trHeight w:val="420"/>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3B0142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New challenges:</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02139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2F3A33A" w14:textId="77777777">
        <w:trPr>
          <w:trHeight w:val="420"/>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327510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5B2DA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5A1D91D" w14:textId="77777777">
        <w:trPr>
          <w:trHeight w:val="510"/>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7C9EB6C"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5951BE"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66D73766" w14:textId="77777777">
        <w:trPr>
          <w:trHeight w:val="510"/>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D13075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0EBF8D"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3B3CE949" w14:textId="77777777">
        <w:trPr>
          <w:trHeight w:val="510"/>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975203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61C7DB" w14:textId="77777777" w:rsidR="007356D6" w:rsidRDefault="00D7602D">
            <w:pPr>
              <w:spacing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organisation’s statement that stood out in the survey reply)</w:t>
            </w:r>
          </w:p>
        </w:tc>
      </w:tr>
    </w:tbl>
    <w:p w14:paraId="2ACE6F5C" w14:textId="77777777" w:rsidR="007356D6" w:rsidRDefault="00D7602D">
      <w:pPr>
        <w:spacing w:line="240" w:lineRule="auto"/>
        <w:rPr>
          <w:rFonts w:ascii="Times New Roman" w:eastAsia="Times New Roman" w:hAnsi="Times New Roman" w:cs="Times New Roman"/>
          <w:b/>
          <w:color w:val="3C78D8"/>
          <w:sz w:val="26"/>
          <w:szCs w:val="26"/>
        </w:rPr>
      </w:pPr>
      <w:r>
        <w:rPr>
          <w:rFonts w:ascii="Times New Roman" w:eastAsia="Times New Roman" w:hAnsi="Times New Roman" w:cs="Times New Roman"/>
          <w:b/>
          <w:color w:val="3C78D8"/>
          <w:sz w:val="26"/>
          <w:szCs w:val="26"/>
        </w:rPr>
        <w:t xml:space="preserve"> </w:t>
      </w:r>
    </w:p>
    <w:tbl>
      <w:tblPr>
        <w:tblStyle w:val="af"/>
        <w:tblW w:w="9960" w:type="dxa"/>
        <w:tblBorders>
          <w:top w:val="nil"/>
          <w:left w:val="nil"/>
          <w:bottom w:val="nil"/>
          <w:right w:val="nil"/>
          <w:insideH w:val="nil"/>
          <w:insideV w:val="nil"/>
        </w:tblBorders>
        <w:tblLayout w:type="fixed"/>
        <w:tblLook w:val="0600" w:firstRow="0" w:lastRow="0" w:firstColumn="0" w:lastColumn="0" w:noHBand="1" w:noVBand="1"/>
      </w:tblPr>
      <w:tblGrid>
        <w:gridCol w:w="2378"/>
        <w:gridCol w:w="7582"/>
      </w:tblGrid>
      <w:tr w:rsidR="007356D6" w14:paraId="3BC4E81C" w14:textId="77777777">
        <w:trPr>
          <w:trHeight w:val="555"/>
        </w:trPr>
        <w:tc>
          <w:tcPr>
            <w:tcW w:w="9959"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C92EE18"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2022 selected case</w:t>
            </w:r>
          </w:p>
        </w:tc>
      </w:tr>
      <w:tr w:rsidR="007356D6" w14:paraId="24C89D2E" w14:textId="77777777">
        <w:trPr>
          <w:trHeight w:val="555"/>
        </w:trPr>
        <w:tc>
          <w:tcPr>
            <w:tcW w:w="2378" w:type="dxa"/>
            <w:tcBorders>
              <w:top w:val="single" w:sz="6"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C094867" w14:textId="77777777" w:rsidR="007356D6" w:rsidRDefault="00D7602D">
            <w:pPr>
              <w:spacing w:line="240" w:lineRule="auto"/>
              <w:rPr>
                <w:rFonts w:ascii="Times New Roman" w:eastAsia="Times New Roman" w:hAnsi="Times New Roman" w:cs="Times New Roman"/>
                <w:b/>
              </w:rPr>
            </w:pPr>
            <w:r>
              <w:rPr>
                <w:rFonts w:ascii="Times New Roman" w:eastAsia="Times New Roman" w:hAnsi="Times New Roman" w:cs="Times New Roman"/>
                <w:b/>
              </w:rPr>
              <w:t>Case 2:</w:t>
            </w:r>
          </w:p>
        </w:tc>
        <w:tc>
          <w:tcPr>
            <w:tcW w:w="7581" w:type="dxa"/>
            <w:tcBorders>
              <w:top w:val="single" w:sz="6"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5B2B3CCE"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Are We Together?</w:t>
            </w:r>
          </w:p>
        </w:tc>
      </w:tr>
      <w:tr w:rsidR="007356D6" w14:paraId="62D06D48" w14:textId="77777777">
        <w:trPr>
          <w:trHeight w:val="339"/>
        </w:trPr>
        <w:tc>
          <w:tcPr>
            <w:tcW w:w="23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42A83B"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581" w:type="dxa"/>
            <w:tcBorders>
              <w:top w:val="nil"/>
              <w:left w:val="nil"/>
              <w:bottom w:val="single" w:sz="8" w:space="0" w:color="000000"/>
              <w:right w:val="single" w:sz="8" w:space="0" w:color="000000"/>
            </w:tcBorders>
            <w:tcMar>
              <w:top w:w="100" w:type="dxa"/>
              <w:left w:w="100" w:type="dxa"/>
              <w:bottom w:w="100" w:type="dxa"/>
              <w:right w:w="100" w:type="dxa"/>
            </w:tcMar>
          </w:tcPr>
          <w:p w14:paraId="7B3CB3F3"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Uganda – African Region</w:t>
            </w:r>
          </w:p>
        </w:tc>
      </w:tr>
      <w:tr w:rsidR="007356D6" w14:paraId="1EDD69B1" w14:textId="77777777">
        <w:trPr>
          <w:trHeight w:val="361"/>
        </w:trPr>
        <w:tc>
          <w:tcPr>
            <w:tcW w:w="23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FD54AC"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581" w:type="dxa"/>
            <w:tcBorders>
              <w:top w:val="nil"/>
              <w:left w:val="nil"/>
              <w:bottom w:val="single" w:sz="8" w:space="0" w:color="000000"/>
              <w:right w:val="single" w:sz="8" w:space="0" w:color="000000"/>
            </w:tcBorders>
            <w:tcMar>
              <w:top w:w="100" w:type="dxa"/>
              <w:left w:w="100" w:type="dxa"/>
              <w:bottom w:w="100" w:type="dxa"/>
              <w:right w:w="100" w:type="dxa"/>
            </w:tcMar>
          </w:tcPr>
          <w:p w14:paraId="41A62B71"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Society Foundation</w:t>
            </w:r>
          </w:p>
        </w:tc>
      </w:tr>
      <w:tr w:rsidR="007356D6" w14:paraId="55770CB1" w14:textId="77777777">
        <w:trPr>
          <w:trHeight w:val="571"/>
        </w:trPr>
        <w:tc>
          <w:tcPr>
            <w:tcW w:w="23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2C6466"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581" w:type="dxa"/>
            <w:tcBorders>
              <w:top w:val="nil"/>
              <w:left w:val="nil"/>
              <w:bottom w:val="single" w:sz="8" w:space="0" w:color="000000"/>
              <w:right w:val="single" w:sz="8" w:space="0" w:color="000000"/>
            </w:tcBorders>
            <w:tcMar>
              <w:top w:w="100" w:type="dxa"/>
              <w:left w:w="100" w:type="dxa"/>
              <w:bottom w:w="100" w:type="dxa"/>
              <w:right w:w="100" w:type="dxa"/>
            </w:tcMar>
          </w:tcPr>
          <w:p w14:paraId="55146044" w14:textId="77777777" w:rsidR="007356D6" w:rsidRDefault="00D7602D">
            <w:pPr>
              <w:numPr>
                <w:ilvl w:val="0"/>
                <w:numId w:val="3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Pollicy</w:t>
            </w:r>
          </w:p>
          <w:p w14:paraId="09BDE7EC" w14:textId="77777777" w:rsidR="007356D6" w:rsidRDefault="00D7602D">
            <w:pPr>
              <w:numPr>
                <w:ilvl w:val="1"/>
                <w:numId w:val="3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Focal point: Meital Kupfer</w:t>
            </w:r>
          </w:p>
        </w:tc>
      </w:tr>
      <w:tr w:rsidR="007356D6" w14:paraId="3B486DE8" w14:textId="77777777">
        <w:trPr>
          <w:trHeight w:val="4114"/>
        </w:trPr>
        <w:tc>
          <w:tcPr>
            <w:tcW w:w="23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2ED8D6"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581" w:type="dxa"/>
            <w:tcBorders>
              <w:top w:val="nil"/>
              <w:left w:val="nil"/>
              <w:bottom w:val="single" w:sz="8" w:space="0" w:color="000000"/>
              <w:right w:val="single" w:sz="8" w:space="0" w:color="000000"/>
            </w:tcBorders>
            <w:tcMar>
              <w:top w:w="100" w:type="dxa"/>
              <w:left w:w="100" w:type="dxa"/>
              <w:bottom w:w="100" w:type="dxa"/>
              <w:right w:w="100" w:type="dxa"/>
            </w:tcMar>
          </w:tcPr>
          <w:p w14:paraId="47417138" w14:textId="77777777" w:rsidR="007356D6" w:rsidRDefault="00D7602D">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As Internet access continues to exponentially grow and reach communities that were previously offline, it is necessary to install proper, curated digital spaces to document and preserve languages, share, teach and disseminate material to new or existing sp</w:t>
            </w:r>
            <w:r>
              <w:rPr>
                <w:rFonts w:ascii="Times New Roman" w:eastAsia="Times New Roman" w:hAnsi="Times New Roman" w:cs="Times New Roman"/>
                <w:sz w:val="20"/>
                <w:szCs w:val="20"/>
                <w:highlight w:val="white"/>
              </w:rPr>
              <w:t>eakers, and translate information for marginalised groups.</w:t>
            </w:r>
          </w:p>
          <w:p w14:paraId="34A14544" w14:textId="77777777" w:rsidR="007356D6" w:rsidRDefault="00D7602D">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Digital platforms give importance and value to minority groups when the use, production and consumption of digital products and design occur - hence, there is</w:t>
            </w:r>
            <w:r>
              <w:rPr>
                <w:rFonts w:ascii="Times New Roman" w:eastAsia="Times New Roman" w:hAnsi="Times New Roman" w:cs="Times New Roman"/>
                <w:sz w:val="20"/>
                <w:szCs w:val="20"/>
              </w:rPr>
              <w:t xml:space="preserve"> room and opportunity for linguistic empowerment online.</w:t>
            </w:r>
            <w:r>
              <w:rPr>
                <w:rFonts w:ascii="Times New Roman" w:eastAsia="Times New Roman" w:hAnsi="Times New Roman" w:cs="Times New Roman"/>
                <w:sz w:val="20"/>
                <w:szCs w:val="20"/>
                <w:highlight w:val="green"/>
              </w:rPr>
              <w:t xml:space="preserve"> </w:t>
            </w:r>
          </w:p>
          <w:p w14:paraId="29EB05F7" w14:textId="77777777" w:rsidR="007356D6" w:rsidRDefault="00D7602D">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Specifics:</w:t>
            </w:r>
          </w:p>
          <w:p w14:paraId="38509A6A" w14:textId="77777777" w:rsidR="007356D6" w:rsidRDefault="00D7602D">
            <w:pPr>
              <w:numPr>
                <w:ilvl w:val="1"/>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project looks at rural areas (farmers who use applications for livelihood purposes) and informal economy workers in urban areas. </w:t>
            </w:r>
          </w:p>
          <w:p w14:paraId="0740AB81" w14:textId="77777777" w:rsidR="007356D6" w:rsidRDefault="00D7602D">
            <w:pPr>
              <w:numPr>
                <w:ilvl w:val="1"/>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sheds light on the unique experiences of women and</w:t>
            </w:r>
            <w:r>
              <w:rPr>
                <w:rFonts w:ascii="Times New Roman" w:eastAsia="Times New Roman" w:hAnsi="Times New Roman" w:cs="Times New Roman"/>
                <w:sz w:val="20"/>
                <w:szCs w:val="20"/>
              </w:rPr>
              <w:t xml:space="preserve"> gender-diverse individuals in how they access and use online spaces in local languages. Intersectionality is key.</w:t>
            </w:r>
          </w:p>
          <w:p w14:paraId="570022EB" w14:textId="77777777" w:rsidR="007356D6" w:rsidRDefault="00D7602D">
            <w:pPr>
              <w:numPr>
                <w:ilvl w:val="1"/>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project prioritises local content - its white paper is translated into Amharic, Luganda and Swahili. The product of the ethnographic rese</w:t>
            </w:r>
            <w:r>
              <w:rPr>
                <w:rFonts w:ascii="Times New Roman" w:eastAsia="Times New Roman" w:hAnsi="Times New Roman" w:cs="Times New Roman"/>
                <w:sz w:val="20"/>
                <w:szCs w:val="20"/>
              </w:rPr>
              <w:t>arch will be disseminated in multiple languages; the focus groups are being conducted in local languages as by location.</w:t>
            </w:r>
          </w:p>
        </w:tc>
      </w:tr>
      <w:tr w:rsidR="007356D6" w14:paraId="4D715DF5" w14:textId="77777777">
        <w:trPr>
          <w:trHeight w:val="4116"/>
        </w:trPr>
        <w:tc>
          <w:tcPr>
            <w:tcW w:w="23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AD43A2"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Which were the actions taken to address the problem(s)?</w:t>
            </w:r>
          </w:p>
        </w:tc>
        <w:tc>
          <w:tcPr>
            <w:tcW w:w="7581" w:type="dxa"/>
            <w:tcBorders>
              <w:top w:val="nil"/>
              <w:left w:val="nil"/>
              <w:bottom w:val="single" w:sz="8" w:space="0" w:color="000000"/>
              <w:right w:val="single" w:sz="8" w:space="0" w:color="000000"/>
            </w:tcBorders>
            <w:tcMar>
              <w:top w:w="100" w:type="dxa"/>
              <w:left w:w="100" w:type="dxa"/>
              <w:bottom w:w="100" w:type="dxa"/>
              <w:right w:w="100" w:type="dxa"/>
            </w:tcMar>
          </w:tcPr>
          <w:p w14:paraId="66087C56" w14:textId="77777777" w:rsidR="007356D6" w:rsidRDefault="00D7602D">
            <w:pPr>
              <w:numPr>
                <w:ilvl w:val="0"/>
                <w:numId w:val="3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Individuals and organisations in all sectors touching the digital space should listen and adapt for a more inclusive and diverse language landscape. This includes the following actions::</w:t>
            </w:r>
          </w:p>
          <w:p w14:paraId="6E96CAF4" w14:textId="77777777" w:rsidR="007356D6" w:rsidRDefault="00D7602D">
            <w:pPr>
              <w:numPr>
                <w:ilvl w:val="1"/>
                <w:numId w:val="3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Policymakers and governments: mandate open source code; promote digit</w:t>
            </w:r>
            <w:r>
              <w:rPr>
                <w:rFonts w:ascii="Times New Roman" w:eastAsia="Times New Roman" w:hAnsi="Times New Roman" w:cs="Times New Roman"/>
                <w:sz w:val="20"/>
                <w:szCs w:val="20"/>
              </w:rPr>
              <w:t>al education in local languages; Incentivize tech businesses to operate in-country</w:t>
            </w:r>
          </w:p>
          <w:p w14:paraId="29F4D912" w14:textId="77777777" w:rsidR="007356D6" w:rsidRDefault="00D7602D">
            <w:pPr>
              <w:numPr>
                <w:ilvl w:val="1"/>
                <w:numId w:val="3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Technology firms: consult indigenous/local groups for feedback; hire people who speak underrepresented languages in their countries of origin; localise software and code so </w:t>
            </w:r>
            <w:r>
              <w:rPr>
                <w:rFonts w:ascii="Times New Roman" w:eastAsia="Times New Roman" w:hAnsi="Times New Roman" w:cs="Times New Roman"/>
                <w:sz w:val="20"/>
                <w:szCs w:val="20"/>
              </w:rPr>
              <w:t>developers in the global South can translate products/services; spend more resources on software and code in non-Latin scripts; focus on content moderation in all countries of operation</w:t>
            </w:r>
          </w:p>
          <w:p w14:paraId="313846B4" w14:textId="77777777" w:rsidR="007356D6" w:rsidRDefault="00D7602D">
            <w:pPr>
              <w:numPr>
                <w:ilvl w:val="1"/>
                <w:numId w:val="3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Civil society: support social media and other digital platforms spearh</w:t>
            </w:r>
            <w:r>
              <w:rPr>
                <w:rFonts w:ascii="Times New Roman" w:eastAsia="Times New Roman" w:hAnsi="Times New Roman" w:cs="Times New Roman"/>
                <w:sz w:val="20"/>
                <w:szCs w:val="20"/>
              </w:rPr>
              <w:t>eaded by indigenous groups; continue to conduct research; provide advocacy platforms</w:t>
            </w:r>
          </w:p>
          <w:p w14:paraId="56FD45F3" w14:textId="77777777" w:rsidR="007356D6" w:rsidRDefault="00D7602D">
            <w:pPr>
              <w:numPr>
                <w:ilvl w:val="1"/>
                <w:numId w:val="3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actors: sponsor and fund grants to preserve endangered languages online; support local organisations and conduct regional and global advocacy</w:t>
            </w:r>
          </w:p>
        </w:tc>
      </w:tr>
      <w:tr w:rsidR="007356D6" w14:paraId="120089B0" w14:textId="77777777">
        <w:trPr>
          <w:trHeight w:val="4793"/>
        </w:trPr>
        <w:tc>
          <w:tcPr>
            <w:tcW w:w="2378" w:type="dxa"/>
            <w:tcBorders>
              <w:top w:val="nil"/>
              <w:left w:val="single" w:sz="8" w:space="0" w:color="000000"/>
              <w:bottom w:val="single" w:sz="6" w:space="0" w:color="000000"/>
              <w:right w:val="single" w:sz="8" w:space="0" w:color="000000"/>
            </w:tcBorders>
            <w:tcMar>
              <w:top w:w="100" w:type="dxa"/>
              <w:left w:w="100" w:type="dxa"/>
              <w:bottom w:w="100" w:type="dxa"/>
              <w:right w:w="100" w:type="dxa"/>
            </w:tcMar>
          </w:tcPr>
          <w:p w14:paraId="112E6250"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581" w:type="dxa"/>
            <w:tcBorders>
              <w:top w:val="nil"/>
              <w:left w:val="nil"/>
              <w:bottom w:val="single" w:sz="6" w:space="0" w:color="000000"/>
              <w:right w:val="single" w:sz="8" w:space="0" w:color="000000"/>
            </w:tcBorders>
            <w:tcMar>
              <w:top w:w="100" w:type="dxa"/>
              <w:left w:w="100" w:type="dxa"/>
              <w:bottom w:w="100" w:type="dxa"/>
              <w:right w:w="100" w:type="dxa"/>
            </w:tcMar>
          </w:tcPr>
          <w:p w14:paraId="3B7E5687" w14:textId="77777777" w:rsidR="007356D6" w:rsidRDefault="00D7602D">
            <w:pPr>
              <w:numPr>
                <w:ilvl w:val="0"/>
                <w:numId w:val="2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 (best example): farmers in rural Uganda can use applications or communicate in their local languages to apply for loans on WhatsApp with relative ease.</w:t>
            </w:r>
          </w:p>
          <w:p w14:paraId="78CA4D1C" w14:textId="77777777" w:rsidR="007356D6" w:rsidRDefault="00D7602D">
            <w:pPr>
              <w:numPr>
                <w:ilvl w:val="0"/>
                <w:numId w:val="2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Desired Impact:</w:t>
            </w:r>
          </w:p>
          <w:p w14:paraId="03FD23BC" w14:textId="77777777" w:rsidR="007356D6" w:rsidRDefault="00D7602D">
            <w:pPr>
              <w:numPr>
                <w:ilvl w:val="1"/>
                <w:numId w:val="2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w:t>
            </w:r>
            <w:r>
              <w:rPr>
                <w:rFonts w:ascii="Times New Roman" w:eastAsia="Times New Roman" w:hAnsi="Times New Roman" w:cs="Times New Roman"/>
                <w:sz w:val="20"/>
                <w:szCs w:val="20"/>
              </w:rPr>
              <w:t>nd/improve the impact of languages on the usability, accessibility, trustworthiness, growth and moderation of digital platforms</w:t>
            </w:r>
          </w:p>
          <w:p w14:paraId="2150A0D1" w14:textId="77777777" w:rsidR="007356D6" w:rsidRDefault="00D7602D">
            <w:pPr>
              <w:numPr>
                <w:ilvl w:val="1"/>
                <w:numId w:val="2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Generate specific recommendations for technologists and developers to create a more inclusive internet for all. Digital platform</w:t>
            </w:r>
            <w:r>
              <w:rPr>
                <w:rFonts w:ascii="Times New Roman" w:eastAsia="Times New Roman" w:hAnsi="Times New Roman" w:cs="Times New Roman"/>
                <w:sz w:val="20"/>
                <w:szCs w:val="20"/>
              </w:rPr>
              <w:t>s play a critical role in developing countries – beyond entertainment and commerce, they enable livelihood opportunities and enable governments and citizens to better engage with one another. In many developing countries, Big Tech platforms fill gaps in st</w:t>
            </w:r>
            <w:r>
              <w:rPr>
                <w:rFonts w:ascii="Times New Roman" w:eastAsia="Times New Roman" w:hAnsi="Times New Roman" w:cs="Times New Roman"/>
                <w:sz w:val="20"/>
                <w:szCs w:val="20"/>
              </w:rPr>
              <w:t>ate capacity, and provide essential informational and social infrastructure. It is therefore critical to understand issues around access, usability and safety (domains) across different languages groups on digital platforms.</w:t>
            </w:r>
          </w:p>
          <w:p w14:paraId="2D362A46" w14:textId="77777777" w:rsidR="007356D6" w:rsidRDefault="00D7602D">
            <w:pPr>
              <w:numPr>
                <w:ilvl w:val="0"/>
                <w:numId w:val="2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learned: there are no s</w:t>
            </w:r>
            <w:r>
              <w:rPr>
                <w:rFonts w:ascii="Times New Roman" w:eastAsia="Times New Roman" w:hAnsi="Times New Roman" w:cs="Times New Roman"/>
                <w:sz w:val="20"/>
                <w:szCs w:val="20"/>
              </w:rPr>
              <w:t>pecific local/regional/national policies or regulations that could help. Research on national language policies in Ethiopia, Tanzania and Uganda has demonstrated fallbacks - e.g., post-independence Tanzania has championed the use of Swahili resulting in 98</w:t>
            </w:r>
            <w:r>
              <w:rPr>
                <w:rFonts w:ascii="Times New Roman" w:eastAsia="Times New Roman" w:hAnsi="Times New Roman" w:cs="Times New Roman"/>
                <w:sz w:val="20"/>
                <w:szCs w:val="20"/>
              </w:rPr>
              <w:t>% of its people speaking some level of it in everyday life; however, dozens of other local languages that are not prioritised are falling into disuse.</w:t>
            </w:r>
          </w:p>
        </w:tc>
      </w:tr>
      <w:tr w:rsidR="007356D6" w14:paraId="03B9CBCC" w14:textId="77777777">
        <w:trPr>
          <w:trHeight w:val="594"/>
        </w:trPr>
        <w:tc>
          <w:tcPr>
            <w:tcW w:w="9959"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39AED8A4" w14:textId="77777777" w:rsidR="007356D6" w:rsidRDefault="00D7602D">
            <w:pPr>
              <w:spacing w:before="240" w:after="240"/>
              <w:ind w:left="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w:t>
            </w:r>
          </w:p>
        </w:tc>
      </w:tr>
      <w:tr w:rsidR="007356D6" w14:paraId="57482958"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9CBF7C7"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0ED3647"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we are continuing with advocacy on local language inclusion on online platforms. Advocacy has been ongoing among government agencies, civil society organisations.</w:t>
            </w:r>
          </w:p>
        </w:tc>
      </w:tr>
      <w:tr w:rsidR="007356D6" w14:paraId="76CC7EA6"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666F003"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6124ACE"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limited funding to continue with</w:t>
            </w:r>
            <w:r>
              <w:rPr>
                <w:rFonts w:ascii="Times New Roman" w:eastAsia="Times New Roman" w:hAnsi="Times New Roman" w:cs="Times New Roman"/>
                <w:sz w:val="20"/>
                <w:szCs w:val="20"/>
              </w:rPr>
              <w:t xml:space="preserve"> advocacy through workshops and conferences.</w:t>
            </w:r>
          </w:p>
        </w:tc>
      </w:tr>
      <w:tr w:rsidR="007356D6" w14:paraId="481D3D25"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E23A0E4"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2022 solutions still work to tackle the problem? </w:t>
            </w:r>
            <w:r>
              <w:rPr>
                <w:rFonts w:ascii="Times New Roman" w:eastAsia="Times New Roman" w:hAnsi="Times New Roman" w:cs="Times New Roman"/>
                <w:b/>
                <w:sz w:val="20"/>
                <w:szCs w:val="20"/>
              </w:rPr>
              <w:lastRenderedPageBreak/>
              <w:t>New solutions needed to be developed?</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7E00499"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2022 solutions are still working to tackle the problem.</w:t>
            </w:r>
          </w:p>
        </w:tc>
      </w:tr>
      <w:tr w:rsidR="007356D6" w14:paraId="6B0AF95F"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4BF8CEF"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w:t>
            </w:r>
            <w:r>
              <w:rPr>
                <w:rFonts w:ascii="Times New Roman" w:eastAsia="Times New Roman" w:hAnsi="Times New Roman" w:cs="Times New Roman"/>
                <w:b/>
                <w:sz w:val="20"/>
                <w:szCs w:val="20"/>
              </w:rPr>
              <w:t>se share examples</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38E7427"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Solutions were localised to countries where the research was conducted. For example, because of limited funds, most of the physical advocacy has been done in Uganda where the Pollicy team is mainly based.</w:t>
            </w:r>
          </w:p>
        </w:tc>
      </w:tr>
      <w:tr w:rsidR="007356D6" w14:paraId="305465F4"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F0D9F5C"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8A74AFC" w14:textId="77777777" w:rsidR="007356D6" w:rsidRDefault="00D7602D">
            <w:pPr>
              <w:numPr>
                <w:ilvl w:val="0"/>
                <w:numId w:val="45"/>
              </w:numPr>
              <w:ind w:left="7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Creation of a</w:t>
            </w:r>
            <w:hyperlink r:id="rId28">
              <w:r>
                <w:rPr>
                  <w:rFonts w:ascii="Times New Roman" w:eastAsia="Times New Roman" w:hAnsi="Times New Roman" w:cs="Times New Roman"/>
                  <w:sz w:val="20"/>
                  <w:szCs w:val="20"/>
                </w:rPr>
                <w:t xml:space="preserve"> </w:t>
              </w:r>
            </w:hyperlink>
            <w:hyperlink r:id="rId29">
              <w:r>
                <w:rPr>
                  <w:rFonts w:ascii="Times New Roman" w:eastAsia="Times New Roman" w:hAnsi="Times New Roman" w:cs="Times New Roman"/>
                  <w:color w:val="1155CC"/>
                  <w:sz w:val="20"/>
                  <w:szCs w:val="20"/>
                  <w:u w:val="single"/>
                </w:rPr>
                <w:t>microsite</w:t>
              </w:r>
            </w:hyperlink>
            <w:r>
              <w:rPr>
                <w:rFonts w:ascii="Times New Roman" w:eastAsia="Times New Roman" w:hAnsi="Times New Roman" w:cs="Times New Roman"/>
                <w:sz w:val="20"/>
                <w:szCs w:val="20"/>
              </w:rPr>
              <w:t xml:space="preserve"> where resources on this project are shared and have been accessed by over 100 people.</w:t>
            </w:r>
          </w:p>
          <w:p w14:paraId="74F49915" w14:textId="77777777" w:rsidR="007356D6" w:rsidRDefault="00D7602D">
            <w:pPr>
              <w:numPr>
                <w:ilvl w:val="0"/>
                <w:numId w:val="45"/>
              </w:numPr>
              <w:ind w:left="7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hosted dissemination</w:t>
            </w:r>
            <w:hyperlink r:id="rId30">
              <w:r>
                <w:rPr>
                  <w:rFonts w:ascii="Times New Roman" w:eastAsia="Times New Roman" w:hAnsi="Times New Roman" w:cs="Times New Roman"/>
                  <w:sz w:val="20"/>
                  <w:szCs w:val="20"/>
                </w:rPr>
                <w:t xml:space="preserve"> </w:t>
              </w:r>
            </w:hyperlink>
            <w:hyperlink r:id="rId31">
              <w:r>
                <w:rPr>
                  <w:rFonts w:ascii="Times New Roman" w:eastAsia="Times New Roman" w:hAnsi="Times New Roman" w:cs="Times New Roman"/>
                  <w:color w:val="1155CC"/>
                  <w:sz w:val="20"/>
                  <w:szCs w:val="20"/>
                  <w:u w:val="single"/>
                </w:rPr>
                <w:t>webinars</w:t>
              </w:r>
            </w:hyperlink>
            <w:r>
              <w:rPr>
                <w:rFonts w:ascii="Times New Roman" w:eastAsia="Times New Roman" w:hAnsi="Times New Roman" w:cs="Times New Roman"/>
                <w:sz w:val="20"/>
                <w:szCs w:val="20"/>
              </w:rPr>
              <w:t xml:space="preserve"> about the project</w:t>
            </w:r>
          </w:p>
          <w:p w14:paraId="66A1BE47" w14:textId="77777777" w:rsidR="007356D6" w:rsidRDefault="00D7602D">
            <w:pPr>
              <w:numPr>
                <w:ilvl w:val="0"/>
                <w:numId w:val="45"/>
              </w:numPr>
              <w:ind w:left="7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from this project was combined with that from other two projects; one on Future of work and the other on fair conditions for gig econom</w:t>
            </w:r>
            <w:r>
              <w:rPr>
                <w:rFonts w:ascii="Times New Roman" w:eastAsia="Times New Roman" w:hAnsi="Times New Roman" w:cs="Times New Roman"/>
                <w:sz w:val="20"/>
                <w:szCs w:val="20"/>
              </w:rPr>
              <w:t>y workers to advocate for a better future of work through workshops with different stakeholders including gig economy workers, linguistic experts, market vendors, influencers, bloggers, online entrepreneurs, e-commerce delivery personnel and students. A</w:t>
            </w:r>
            <w:hyperlink r:id="rId32">
              <w:r>
                <w:rPr>
                  <w:rFonts w:ascii="Times New Roman" w:eastAsia="Times New Roman" w:hAnsi="Times New Roman" w:cs="Times New Roman"/>
                  <w:sz w:val="20"/>
                  <w:szCs w:val="20"/>
                </w:rPr>
                <w:t xml:space="preserve"> </w:t>
              </w:r>
            </w:hyperlink>
            <w:hyperlink r:id="rId33">
              <w:r>
                <w:rPr>
                  <w:rFonts w:ascii="Times New Roman" w:eastAsia="Times New Roman" w:hAnsi="Times New Roman" w:cs="Times New Roman"/>
                  <w:color w:val="1155CC"/>
                  <w:sz w:val="20"/>
                  <w:szCs w:val="20"/>
                  <w:u w:val="single"/>
                </w:rPr>
                <w:t>report</w:t>
              </w:r>
            </w:hyperlink>
            <w:r>
              <w:rPr>
                <w:rFonts w:ascii="Times New Roman" w:eastAsia="Times New Roman" w:hAnsi="Times New Roman" w:cs="Times New Roman"/>
                <w:sz w:val="20"/>
                <w:szCs w:val="20"/>
              </w:rPr>
              <w:t xml:space="preserve"> was published by Pollicy from this combined information.</w:t>
            </w:r>
          </w:p>
          <w:p w14:paraId="660D892D" w14:textId="77777777" w:rsidR="007356D6" w:rsidRDefault="00D7602D">
            <w:pPr>
              <w:numPr>
                <w:ilvl w:val="0"/>
                <w:numId w:val="45"/>
              </w:numPr>
              <w:spacing w:after="240"/>
              <w:ind w:left="7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Getting to collaborate with the government, specifical</w:t>
            </w:r>
            <w:r>
              <w:rPr>
                <w:rFonts w:ascii="Times New Roman" w:eastAsia="Times New Roman" w:hAnsi="Times New Roman" w:cs="Times New Roman"/>
                <w:sz w:val="20"/>
                <w:szCs w:val="20"/>
              </w:rPr>
              <w:t>ly the Ministry of ICT, on our projects that focus on the future of work of which Are Together Project is among.</w:t>
            </w:r>
          </w:p>
        </w:tc>
      </w:tr>
      <w:tr w:rsidR="007356D6" w14:paraId="4C352122"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0D81CFB"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DDC8CC4"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most challenging policy has been the amended Computer Misuse Act that introduced measures and penalties that seek to contr</w:t>
            </w:r>
            <w:r>
              <w:rPr>
                <w:rFonts w:ascii="Times New Roman" w:eastAsia="Times New Roman" w:hAnsi="Times New Roman" w:cs="Times New Roman"/>
                <w:sz w:val="20"/>
                <w:szCs w:val="20"/>
              </w:rPr>
              <w:t>ol use of social media platforms to share content. This is a challenge as the Future of work moves to largely online platforms but also as we advocate for local language inclusion some content may be interpreted as "hate speech" or offensive because of lac</w:t>
            </w:r>
            <w:r>
              <w:rPr>
                <w:rFonts w:ascii="Times New Roman" w:eastAsia="Times New Roman" w:hAnsi="Times New Roman" w:cs="Times New Roman"/>
                <w:sz w:val="20"/>
                <w:szCs w:val="20"/>
              </w:rPr>
              <w:t>k of accurate online translation.</w:t>
            </w:r>
          </w:p>
          <w:p w14:paraId="41113543"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recently launched Digital Transformation Road map for Uganda presents us with an opportunity to scale up advocacy for local language app that can be easily used for communication and access to services.</w:t>
            </w:r>
          </w:p>
        </w:tc>
      </w:tr>
      <w:tr w:rsidR="007356D6" w14:paraId="7313FA8C"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D44EE5E"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8795DE5"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important to involve the government in the work we do; advocacy, awareness raising, etc. This makes it easy for CSOs to penetrate the targeted community. Secondly,  government involvement makes the target community to easily embrace </w:t>
            </w:r>
            <w:r>
              <w:rPr>
                <w:rFonts w:ascii="Times New Roman" w:eastAsia="Times New Roman" w:hAnsi="Times New Roman" w:cs="Times New Roman"/>
                <w:sz w:val="20"/>
                <w:szCs w:val="20"/>
              </w:rPr>
              <w:t>any programs on the project as communities tend to believe in government programs that they focus on their needs and are credible as well as sustainable.</w:t>
            </w:r>
          </w:p>
        </w:tc>
      </w:tr>
      <w:tr w:rsidR="007356D6" w14:paraId="4DC16144"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7FBD53"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F8F0BB8"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we move into advocacy, we have been able to collaborate with the government and brough</w:t>
            </w:r>
            <w:r>
              <w:rPr>
                <w:rFonts w:ascii="Times New Roman" w:eastAsia="Times New Roman" w:hAnsi="Times New Roman" w:cs="Times New Roman"/>
                <w:sz w:val="20"/>
                <w:szCs w:val="20"/>
              </w:rPr>
              <w:t>t them on board on our projects that focus on the future of work of which the "Are we Together" project belongs to. We hope to widen our scope for advocacy as we leverage on this collaboration.</w:t>
            </w:r>
          </w:p>
        </w:tc>
      </w:tr>
      <w:tr w:rsidR="007356D6" w14:paraId="21E281D6"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EBD5C3A"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Other important matter(s) on the project and not covered abov</w:t>
            </w:r>
            <w:r>
              <w:rPr>
                <w:rFonts w:ascii="Times New Roman" w:eastAsia="Times New Roman" w:hAnsi="Times New Roman" w:cs="Times New Roman"/>
                <w:b/>
                <w:sz w:val="20"/>
                <w:szCs w:val="20"/>
              </w:rPr>
              <w:t>e:</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187CD7A"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7356D6" w14:paraId="34ECD606" w14:textId="77777777">
        <w:trPr>
          <w:trHeight w:val="450"/>
        </w:trPr>
        <w:tc>
          <w:tcPr>
            <w:tcW w:w="9959"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99BB148" w14:textId="77777777" w:rsidR="007356D6" w:rsidRDefault="00D7602D">
            <w:pPr>
              <w:spacing w:line="240" w:lineRule="auto"/>
              <w:jc w:val="center"/>
              <w:rPr>
                <w:b/>
              </w:rPr>
            </w:pPr>
            <w:r>
              <w:rPr>
                <w:b/>
              </w:rPr>
              <w:t xml:space="preserve">2024 Follow-up on </w:t>
            </w:r>
            <w:r>
              <w:rPr>
                <w:b/>
                <w:highlight w:val="green"/>
              </w:rPr>
              <w:t>[write date]</w:t>
            </w:r>
          </w:p>
        </w:tc>
      </w:tr>
      <w:tr w:rsidR="007356D6" w14:paraId="6DF15FA8" w14:textId="77777777">
        <w:trPr>
          <w:trHeight w:val="414"/>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CDB66D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061F74"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315ED9BF" w14:textId="77777777">
        <w:trPr>
          <w:trHeight w:val="66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FEFAAE9"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7CA8A8"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4199E32" w14:textId="77777777">
        <w:trPr>
          <w:trHeight w:val="66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ED44E6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CF987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7937E83" w14:textId="77777777">
        <w:trPr>
          <w:trHeight w:val="66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5D6B32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A330CA"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C74B27F" w14:textId="77777777">
        <w:trPr>
          <w:trHeight w:val="435"/>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0694C39"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9DD802"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5FF35D60" w14:textId="77777777">
        <w:trPr>
          <w:trHeight w:val="435"/>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3F09E5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F707CF"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11A32B88" w14:textId="77777777">
        <w:trPr>
          <w:trHeight w:val="39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652092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364934"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1F3FA91F" w14:textId="77777777">
        <w:trPr>
          <w:trHeight w:val="39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BC9B981"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DE4D13"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6847CE38" w14:textId="77777777" w:rsidR="007356D6" w:rsidRDefault="007356D6">
      <w:pPr>
        <w:spacing w:line="240" w:lineRule="auto"/>
        <w:rPr>
          <w:rFonts w:ascii="Times New Roman" w:eastAsia="Times New Roman" w:hAnsi="Times New Roman" w:cs="Times New Roman"/>
        </w:rPr>
      </w:pPr>
    </w:p>
    <w:p w14:paraId="25BF30E2" w14:textId="77777777" w:rsidR="007356D6" w:rsidRDefault="007356D6">
      <w:pPr>
        <w:spacing w:line="240" w:lineRule="auto"/>
        <w:rPr>
          <w:rFonts w:ascii="Times New Roman" w:eastAsia="Times New Roman" w:hAnsi="Times New Roman" w:cs="Times New Roman"/>
        </w:rPr>
      </w:pPr>
    </w:p>
    <w:p w14:paraId="32C30F37" w14:textId="77777777" w:rsidR="007356D6" w:rsidRDefault="00D7602D">
      <w:pPr>
        <w:spacing w:line="240" w:lineRule="auto"/>
        <w:rPr>
          <w:rFonts w:ascii="Times New Roman" w:eastAsia="Times New Roman" w:hAnsi="Times New Roman" w:cs="Times New Roman"/>
        </w:rPr>
      </w:pPr>
      <w:r>
        <w:br w:type="page"/>
      </w:r>
    </w:p>
    <w:tbl>
      <w:tblPr>
        <w:tblStyle w:val="af0"/>
        <w:tblW w:w="9637" w:type="dxa"/>
        <w:tblBorders>
          <w:top w:val="nil"/>
          <w:left w:val="nil"/>
          <w:bottom w:val="nil"/>
          <w:right w:val="nil"/>
          <w:insideH w:val="nil"/>
          <w:insideV w:val="nil"/>
        </w:tblBorders>
        <w:tblLayout w:type="fixed"/>
        <w:tblLook w:val="0600" w:firstRow="0" w:lastRow="0" w:firstColumn="0" w:lastColumn="0" w:noHBand="1" w:noVBand="1"/>
      </w:tblPr>
      <w:tblGrid>
        <w:gridCol w:w="2398"/>
        <w:gridCol w:w="7239"/>
      </w:tblGrid>
      <w:tr w:rsidR="007356D6" w14:paraId="2096562E" w14:textId="77777777">
        <w:trPr>
          <w:trHeight w:val="495"/>
        </w:trPr>
        <w:tc>
          <w:tcPr>
            <w:tcW w:w="9637"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02B84E8"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2022 selected case</w:t>
            </w:r>
          </w:p>
        </w:tc>
      </w:tr>
      <w:tr w:rsidR="007356D6" w14:paraId="3280932A" w14:textId="77777777">
        <w:trPr>
          <w:trHeight w:val="495"/>
        </w:trPr>
        <w:tc>
          <w:tcPr>
            <w:tcW w:w="2398" w:type="dxa"/>
            <w:tcBorders>
              <w:top w:val="single" w:sz="6"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274E865" w14:textId="77777777" w:rsidR="007356D6" w:rsidRDefault="00D7602D">
            <w:pPr>
              <w:spacing w:line="240" w:lineRule="auto"/>
              <w:rPr>
                <w:rFonts w:ascii="Times New Roman" w:eastAsia="Times New Roman" w:hAnsi="Times New Roman" w:cs="Times New Roman"/>
                <w:b/>
              </w:rPr>
            </w:pPr>
            <w:r>
              <w:rPr>
                <w:rFonts w:ascii="Times New Roman" w:eastAsia="Times New Roman" w:hAnsi="Times New Roman" w:cs="Times New Roman"/>
                <w:b/>
              </w:rPr>
              <w:t>Case 3:</w:t>
            </w:r>
          </w:p>
        </w:tc>
        <w:tc>
          <w:tcPr>
            <w:tcW w:w="7239" w:type="dxa"/>
            <w:tcBorders>
              <w:top w:val="single" w:sz="6"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1A045012"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NUPEF Projects</w:t>
            </w:r>
          </w:p>
        </w:tc>
      </w:tr>
      <w:tr w:rsidR="007356D6" w14:paraId="2724888E" w14:textId="77777777">
        <w:trPr>
          <w:trHeight w:val="399"/>
        </w:trPr>
        <w:tc>
          <w:tcPr>
            <w:tcW w:w="23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9A76D2"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239" w:type="dxa"/>
            <w:tcBorders>
              <w:top w:val="nil"/>
              <w:left w:val="nil"/>
              <w:bottom w:val="single" w:sz="8" w:space="0" w:color="000000"/>
              <w:right w:val="single" w:sz="8" w:space="0" w:color="000000"/>
            </w:tcBorders>
            <w:tcMar>
              <w:top w:w="100" w:type="dxa"/>
              <w:left w:w="100" w:type="dxa"/>
              <w:bottom w:w="100" w:type="dxa"/>
              <w:right w:w="100" w:type="dxa"/>
            </w:tcMar>
          </w:tcPr>
          <w:p w14:paraId="05CD117C"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Brazil - Latin American and the Caribbean Group (GRULAC)</w:t>
            </w:r>
          </w:p>
        </w:tc>
      </w:tr>
      <w:tr w:rsidR="007356D6" w14:paraId="00DDCAB9" w14:textId="77777777">
        <w:trPr>
          <w:trHeight w:val="399"/>
        </w:trPr>
        <w:tc>
          <w:tcPr>
            <w:tcW w:w="23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978681"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239" w:type="dxa"/>
            <w:tcBorders>
              <w:top w:val="nil"/>
              <w:left w:val="nil"/>
              <w:bottom w:val="single" w:sz="8" w:space="0" w:color="000000"/>
              <w:right w:val="single" w:sz="8" w:space="0" w:color="000000"/>
            </w:tcBorders>
            <w:tcMar>
              <w:top w:w="100" w:type="dxa"/>
              <w:left w:w="100" w:type="dxa"/>
              <w:bottom w:w="100" w:type="dxa"/>
              <w:right w:w="100" w:type="dxa"/>
            </w:tcMar>
          </w:tcPr>
          <w:p w14:paraId="330FD150"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w:t>
            </w:r>
          </w:p>
        </w:tc>
      </w:tr>
      <w:tr w:rsidR="007356D6" w:rsidRPr="00BB0B18" w14:paraId="04778A15" w14:textId="77777777">
        <w:trPr>
          <w:trHeight w:val="635"/>
        </w:trPr>
        <w:tc>
          <w:tcPr>
            <w:tcW w:w="23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B6DAD2"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239" w:type="dxa"/>
            <w:tcBorders>
              <w:top w:val="nil"/>
              <w:left w:val="nil"/>
              <w:bottom w:val="single" w:sz="8" w:space="0" w:color="000000"/>
              <w:right w:val="single" w:sz="8" w:space="0" w:color="000000"/>
            </w:tcBorders>
            <w:tcMar>
              <w:top w:w="100" w:type="dxa"/>
              <w:left w:w="100" w:type="dxa"/>
              <w:bottom w:w="100" w:type="dxa"/>
              <w:right w:w="100" w:type="dxa"/>
            </w:tcMar>
          </w:tcPr>
          <w:p w14:paraId="1CF58C4D" w14:textId="77777777" w:rsidR="007356D6" w:rsidRDefault="00D7602D">
            <w:pPr>
              <w:numPr>
                <w:ilvl w:val="0"/>
                <w:numId w:val="5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Instituto NUPEF</w:t>
            </w:r>
          </w:p>
          <w:p w14:paraId="13141508" w14:textId="77777777" w:rsidR="007356D6" w:rsidRPr="00BB0B18" w:rsidRDefault="00D7602D">
            <w:pPr>
              <w:numPr>
                <w:ilvl w:val="1"/>
                <w:numId w:val="58"/>
              </w:numPr>
              <w:spacing w:line="240" w:lineRule="auto"/>
              <w:jc w:val="both"/>
              <w:rPr>
                <w:rFonts w:ascii="Times New Roman" w:eastAsia="Times New Roman" w:hAnsi="Times New Roman" w:cs="Times New Roman"/>
                <w:sz w:val="20"/>
                <w:szCs w:val="20"/>
                <w:lang w:val="es-ES"/>
              </w:rPr>
            </w:pPr>
            <w:r w:rsidRPr="00BB0B18">
              <w:rPr>
                <w:rFonts w:ascii="Times New Roman" w:eastAsia="Times New Roman" w:hAnsi="Times New Roman" w:cs="Times New Roman"/>
                <w:sz w:val="20"/>
                <w:szCs w:val="20"/>
                <w:lang w:val="es-ES"/>
              </w:rPr>
              <w:t>Focal point: Carlos Afonso, Oona Castro</w:t>
            </w:r>
          </w:p>
        </w:tc>
      </w:tr>
      <w:tr w:rsidR="007356D6" w14:paraId="72C8B7E3" w14:textId="77777777">
        <w:trPr>
          <w:trHeight w:val="615"/>
        </w:trPr>
        <w:tc>
          <w:tcPr>
            <w:tcW w:w="23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F9079D"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239" w:type="dxa"/>
            <w:tcBorders>
              <w:top w:val="nil"/>
              <w:left w:val="nil"/>
              <w:bottom w:val="single" w:sz="8" w:space="0" w:color="000000"/>
              <w:right w:val="single" w:sz="8" w:space="0" w:color="000000"/>
            </w:tcBorders>
            <w:tcMar>
              <w:top w:w="100" w:type="dxa"/>
              <w:left w:w="100" w:type="dxa"/>
              <w:bottom w:w="100" w:type="dxa"/>
              <w:right w:w="100" w:type="dxa"/>
            </w:tcMar>
          </w:tcPr>
          <w:p w14:paraId="04A616E3" w14:textId="77777777" w:rsidR="007356D6" w:rsidRDefault="00D7602D">
            <w:pPr>
              <w:numPr>
                <w:ilvl w:val="0"/>
                <w:numId w:val="3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Lack of support for the preservation/rescuing/presence of local languages of original cultures over the Internet</w:t>
            </w:r>
          </w:p>
        </w:tc>
      </w:tr>
      <w:tr w:rsidR="007356D6" w14:paraId="3BFA2CC3" w14:textId="77777777">
        <w:trPr>
          <w:trHeight w:val="1572"/>
        </w:trPr>
        <w:tc>
          <w:tcPr>
            <w:tcW w:w="23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436CDD"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239" w:type="dxa"/>
            <w:tcBorders>
              <w:top w:val="nil"/>
              <w:left w:val="nil"/>
              <w:bottom w:val="single" w:sz="8" w:space="0" w:color="000000"/>
              <w:right w:val="single" w:sz="8" w:space="0" w:color="000000"/>
            </w:tcBorders>
            <w:tcMar>
              <w:top w:w="100" w:type="dxa"/>
              <w:left w:w="100" w:type="dxa"/>
              <w:bottom w:w="100" w:type="dxa"/>
              <w:right w:w="100" w:type="dxa"/>
            </w:tcMar>
          </w:tcPr>
          <w:p w14:paraId="4AB41541" w14:textId="77777777" w:rsidR="007356D6" w:rsidRDefault="00D7602D">
            <w:pPr>
              <w:numPr>
                <w:ilvl w:val="0"/>
                <w:numId w:val="54"/>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Graúna Project: enable local access to knowledge packages in local community networks even without a good connection to the Internet.</w:t>
            </w:r>
          </w:p>
          <w:p w14:paraId="79A03693" w14:textId="77777777" w:rsidR="007356D6" w:rsidRDefault="00D7602D">
            <w:pPr>
              <w:numPr>
                <w:ilvl w:val="0"/>
                <w:numId w:val="54"/>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Caburé Project: develop online security resources to help NGOs and local communities to protect themselves</w:t>
            </w:r>
          </w:p>
          <w:p w14:paraId="125AAF0C" w14:textId="77777777" w:rsidR="007356D6" w:rsidRDefault="00D7602D">
            <w:pPr>
              <w:numPr>
                <w:ilvl w:val="0"/>
                <w:numId w:val="54"/>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Project actions</w:t>
            </w:r>
            <w:r>
              <w:rPr>
                <w:rFonts w:ascii="Times New Roman" w:eastAsia="Times New Roman" w:hAnsi="Times New Roman" w:cs="Times New Roman"/>
                <w:sz w:val="20"/>
                <w:szCs w:val="20"/>
              </w:rPr>
              <w:t xml:space="preserve"> take into account the concept of meaningful access defended by PNMA.</w:t>
            </w:r>
          </w:p>
        </w:tc>
      </w:tr>
      <w:tr w:rsidR="007356D6" w14:paraId="075EFAC1" w14:textId="77777777">
        <w:trPr>
          <w:trHeight w:val="1565"/>
        </w:trPr>
        <w:tc>
          <w:tcPr>
            <w:tcW w:w="2398" w:type="dxa"/>
            <w:tcBorders>
              <w:top w:val="nil"/>
              <w:left w:val="single" w:sz="8" w:space="0" w:color="000000"/>
              <w:bottom w:val="single" w:sz="6" w:space="0" w:color="000000"/>
              <w:right w:val="single" w:sz="8" w:space="0" w:color="000000"/>
            </w:tcBorders>
            <w:tcMar>
              <w:top w:w="100" w:type="dxa"/>
              <w:left w:w="100" w:type="dxa"/>
              <w:bottom w:w="100" w:type="dxa"/>
              <w:right w:w="100" w:type="dxa"/>
            </w:tcMar>
          </w:tcPr>
          <w:p w14:paraId="079400AC"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239" w:type="dxa"/>
            <w:tcBorders>
              <w:top w:val="nil"/>
              <w:left w:val="nil"/>
              <w:bottom w:val="single" w:sz="6" w:space="0" w:color="000000"/>
              <w:right w:val="single" w:sz="8" w:space="0" w:color="000000"/>
            </w:tcBorders>
            <w:tcMar>
              <w:top w:w="100" w:type="dxa"/>
              <w:left w:w="100" w:type="dxa"/>
              <w:bottom w:w="100" w:type="dxa"/>
              <w:right w:w="100" w:type="dxa"/>
            </w:tcMar>
          </w:tcPr>
          <w:p w14:paraId="53EA7311" w14:textId="77777777" w:rsidR="007356D6" w:rsidRDefault="00D7602D">
            <w:pPr>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 ongoing projects</w:t>
            </w:r>
          </w:p>
          <w:p w14:paraId="644D2FEF" w14:textId="77777777" w:rsidR="007356D6" w:rsidRDefault="00D7602D">
            <w:pPr>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 ongoing projects</w:t>
            </w:r>
          </w:p>
          <w:p w14:paraId="0034DF16" w14:textId="77777777" w:rsidR="007356D6" w:rsidRDefault="00D7602D">
            <w:pPr>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learned: action is needed at the federal level, beyond</w:t>
            </w:r>
            <w:r>
              <w:rPr>
                <w:rFonts w:ascii="Times New Roman" w:eastAsia="Times New Roman" w:hAnsi="Times New Roman" w:cs="Times New Roman"/>
                <w:sz w:val="20"/>
                <w:szCs w:val="20"/>
              </w:rPr>
              <w:t xml:space="preserve"> the communities’ efforts. Given the challenges of growing inequality in Brazil and other countries, a major need is a strategic national public policy of meaningful access which coordinates with local (state, municipalities) actions.</w:t>
            </w:r>
          </w:p>
        </w:tc>
      </w:tr>
      <w:tr w:rsidR="007356D6" w14:paraId="157388BC" w14:textId="77777777">
        <w:trPr>
          <w:trHeight w:val="600"/>
        </w:trPr>
        <w:tc>
          <w:tcPr>
            <w:tcW w:w="9637"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61C67496" w14:textId="77777777" w:rsidR="007356D6" w:rsidRDefault="00D7602D">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w:t>
            </w:r>
          </w:p>
        </w:tc>
      </w:tr>
      <w:tr w:rsidR="007356D6" w14:paraId="7A04A7EE" w14:textId="77777777">
        <w:trPr>
          <w:trHeight w:val="60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C514E38"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6327D7B"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7356D6" w14:paraId="56450901" w14:textId="77777777">
        <w:trPr>
          <w:trHeight w:val="48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FAB43E8"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858EB3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Several challenges, given the diversity of the indigenous cultures and idioms.</w:t>
            </w:r>
          </w:p>
        </w:tc>
      </w:tr>
      <w:tr w:rsidR="007356D6" w14:paraId="6C04D94C" w14:textId="77777777">
        <w:trPr>
          <w:trHeight w:val="48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1774BA6"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89DE271"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is ongoing and also a learning experience for Nupef. Ideally a result would be the community enabled to carry out the further development of the activity.</w:t>
            </w:r>
          </w:p>
        </w:tc>
      </w:tr>
      <w:tr w:rsidR="007356D6" w14:paraId="4F516FD7" w14:textId="77777777">
        <w:trPr>
          <w:trHeight w:val="48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111270F"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Was the solution scaled or localised to other </w:t>
            </w:r>
            <w:r>
              <w:rPr>
                <w:rFonts w:ascii="Times New Roman" w:eastAsia="Times New Roman" w:hAnsi="Times New Roman" w:cs="Times New Roman"/>
                <w:b/>
                <w:sz w:val="20"/>
                <w:szCs w:val="20"/>
              </w:rPr>
              <w:lastRenderedPageBreak/>
              <w:t>regions? If so, please share examples</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A141408"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Too early t</w:t>
            </w:r>
            <w:r>
              <w:rPr>
                <w:rFonts w:ascii="Times New Roman" w:eastAsia="Times New Roman" w:hAnsi="Times New Roman" w:cs="Times New Roman"/>
                <w:sz w:val="20"/>
                <w:szCs w:val="20"/>
              </w:rPr>
              <w:t>o tell. A full report will be available at the end of 2023.</w:t>
            </w:r>
          </w:p>
        </w:tc>
      </w:tr>
      <w:tr w:rsidR="007356D6" w14:paraId="43FC0B7B" w14:textId="77777777">
        <w:trPr>
          <w:trHeight w:val="454"/>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23C6B64"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2F09E76"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356D6" w14:paraId="68AE976E" w14:textId="77777777">
        <w:trPr>
          <w:trHeight w:val="778"/>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7514CC5"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4FAE84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One major challenge is funding sources for the proper continuity and advancement of the project.</w:t>
            </w:r>
          </w:p>
        </w:tc>
      </w:tr>
      <w:tr w:rsidR="007356D6" w14:paraId="332BDF83" w14:textId="77777777">
        <w:trPr>
          <w:trHeight w:val="474"/>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CF43F6A"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13180EE"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356D6" w14:paraId="0D7EA58D" w14:textId="77777777">
        <w:trPr>
          <w:trHeight w:val="48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52A6F25"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7F6AE04" w14:textId="77777777" w:rsidR="007356D6" w:rsidRDefault="00D7602D">
            <w:pPr>
              <w:spacing w:before="240" w:after="240"/>
              <w:ind w:left="80" w:hanging="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356D6" w14:paraId="2D78293B" w14:textId="77777777">
        <w:trPr>
          <w:trHeight w:val="540"/>
        </w:trPr>
        <w:tc>
          <w:tcPr>
            <w:tcW w:w="9637"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EA1BA62" w14:textId="77777777" w:rsidR="007356D6" w:rsidRDefault="00D7602D">
            <w:pPr>
              <w:spacing w:line="240" w:lineRule="auto"/>
              <w:jc w:val="center"/>
              <w:rPr>
                <w:b/>
              </w:rPr>
            </w:pPr>
            <w:r>
              <w:rPr>
                <w:b/>
              </w:rPr>
              <w:t xml:space="preserve">2024 Follow-up on </w:t>
            </w:r>
            <w:r>
              <w:rPr>
                <w:b/>
                <w:highlight w:val="green"/>
              </w:rPr>
              <w:t>[write date]</w:t>
            </w:r>
          </w:p>
        </w:tc>
      </w:tr>
      <w:tr w:rsidR="007356D6" w14:paraId="57F2B231" w14:textId="77777777">
        <w:trPr>
          <w:trHeight w:val="678"/>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5D277E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4FA17B"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7AC4F2E6" w14:textId="77777777">
        <w:trPr>
          <w:trHeight w:val="843"/>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4AAD8B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48D94A"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B493E36" w14:textId="77777777">
        <w:trPr>
          <w:trHeight w:val="1125"/>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0A76E0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358C03"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367F1D6" w14:textId="77777777">
        <w:trPr>
          <w:trHeight w:val="885"/>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3E45F69"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2CDEB0"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DE4935A" w14:textId="77777777">
        <w:trPr>
          <w:trHeight w:val="435"/>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5B567C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5BDAC6"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4BB577E7" w14:textId="77777777">
        <w:trPr>
          <w:trHeight w:val="45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4F5D11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6340B1"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786D3F6A" w14:textId="77777777">
        <w:trPr>
          <w:trHeight w:val="39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BC5BC3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Lessons learned:</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D1BDDB"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56DF988F" w14:textId="77777777">
        <w:trPr>
          <w:trHeight w:val="39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226C2F1"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114DB9"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5AEC8495" w14:textId="77777777" w:rsidR="007356D6" w:rsidRDefault="007356D6">
      <w:pPr>
        <w:spacing w:line="240" w:lineRule="auto"/>
        <w:rPr>
          <w:rFonts w:ascii="Times New Roman" w:eastAsia="Times New Roman" w:hAnsi="Times New Roman" w:cs="Times New Roman"/>
        </w:rPr>
      </w:pPr>
    </w:p>
    <w:p w14:paraId="3EA731C7" w14:textId="77777777" w:rsidR="007356D6" w:rsidRDefault="007356D6">
      <w:pPr>
        <w:spacing w:line="240" w:lineRule="auto"/>
        <w:rPr>
          <w:rFonts w:ascii="Times New Roman" w:eastAsia="Times New Roman" w:hAnsi="Times New Roman" w:cs="Times New Roman"/>
          <w:b/>
          <w:color w:val="3C78D8"/>
          <w:sz w:val="26"/>
          <w:szCs w:val="26"/>
        </w:rPr>
      </w:pPr>
    </w:p>
    <w:p w14:paraId="2F2D7D7B" w14:textId="77777777" w:rsidR="007356D6" w:rsidRDefault="00D7602D">
      <w:pPr>
        <w:spacing w:line="240" w:lineRule="auto"/>
        <w:rPr>
          <w:rFonts w:ascii="Times New Roman" w:eastAsia="Times New Roman" w:hAnsi="Times New Roman" w:cs="Times New Roman"/>
          <w:b/>
          <w:color w:val="3C78D8"/>
          <w:sz w:val="26"/>
          <w:szCs w:val="26"/>
        </w:rPr>
      </w:pPr>
      <w:r>
        <w:br w:type="page"/>
      </w:r>
    </w:p>
    <w:p w14:paraId="7F339785" w14:textId="77777777" w:rsidR="007356D6" w:rsidRDefault="007356D6">
      <w:pPr>
        <w:spacing w:line="240" w:lineRule="auto"/>
        <w:rPr>
          <w:rFonts w:ascii="Times New Roman" w:eastAsia="Times New Roman" w:hAnsi="Times New Roman" w:cs="Times New Roman"/>
          <w:b/>
        </w:rPr>
      </w:pPr>
    </w:p>
    <w:tbl>
      <w:tblPr>
        <w:tblStyle w:val="af1"/>
        <w:tblW w:w="9650"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390"/>
        <w:gridCol w:w="7260"/>
      </w:tblGrid>
      <w:tr w:rsidR="007356D6" w14:paraId="77035519" w14:textId="77777777">
        <w:trPr>
          <w:trHeight w:val="495"/>
        </w:trPr>
        <w:tc>
          <w:tcPr>
            <w:tcW w:w="965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948C039"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2022 selected case</w:t>
            </w:r>
          </w:p>
        </w:tc>
      </w:tr>
      <w:tr w:rsidR="007356D6" w14:paraId="14A29F7E" w14:textId="77777777">
        <w:trPr>
          <w:trHeight w:val="495"/>
        </w:trPr>
        <w:tc>
          <w:tcPr>
            <w:tcW w:w="2390" w:type="dxa"/>
            <w:tcBorders>
              <w:top w:val="single" w:sz="6"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5E48CCD" w14:textId="77777777" w:rsidR="007356D6" w:rsidRDefault="00D7602D">
            <w:pPr>
              <w:spacing w:line="240" w:lineRule="auto"/>
              <w:rPr>
                <w:rFonts w:ascii="Times New Roman" w:eastAsia="Times New Roman" w:hAnsi="Times New Roman" w:cs="Times New Roman"/>
                <w:b/>
              </w:rPr>
            </w:pPr>
            <w:r>
              <w:rPr>
                <w:rFonts w:ascii="Times New Roman" w:eastAsia="Times New Roman" w:hAnsi="Times New Roman" w:cs="Times New Roman"/>
                <w:b/>
              </w:rPr>
              <w:t>Case 4:</w:t>
            </w:r>
          </w:p>
        </w:tc>
        <w:tc>
          <w:tcPr>
            <w:tcW w:w="7260" w:type="dxa"/>
            <w:tcBorders>
              <w:top w:val="single" w:sz="6"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3BFA83E4"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WWW as a web of our Webs</w:t>
            </w:r>
          </w:p>
        </w:tc>
      </w:tr>
      <w:tr w:rsidR="007356D6" w14:paraId="411CD848" w14:textId="77777777">
        <w:trPr>
          <w:trHeight w:val="49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D5A33"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14:paraId="0A0A1D90"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India - Asia/Pacific Region</w:t>
            </w:r>
          </w:p>
        </w:tc>
      </w:tr>
      <w:tr w:rsidR="007356D6" w14:paraId="772873D2" w14:textId="77777777">
        <w:trPr>
          <w:trHeight w:val="52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A21A20"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14:paraId="07D0FA8C" w14:textId="77777777" w:rsidR="007356D6" w:rsidRDefault="00D7602D">
            <w:pPr>
              <w:numPr>
                <w:ilvl w:val="0"/>
                <w:numId w:val="6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APC and Dweb Camp (figures n/a)</w:t>
            </w:r>
          </w:p>
        </w:tc>
      </w:tr>
      <w:tr w:rsidR="007356D6" w14:paraId="45249786" w14:textId="77777777">
        <w:trPr>
          <w:trHeight w:val="1162"/>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F02A82"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14:paraId="499BBABB" w14:textId="77777777" w:rsidR="007356D6" w:rsidRDefault="00D7602D">
            <w:pPr>
              <w:numPr>
                <w:ilvl w:val="0"/>
                <w:numId w:val="6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Janastu</w:t>
            </w:r>
          </w:p>
          <w:p w14:paraId="76577B49" w14:textId="77777777" w:rsidR="007356D6" w:rsidRDefault="00D7602D">
            <w:pPr>
              <w:numPr>
                <w:ilvl w:val="1"/>
                <w:numId w:val="6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Focal point: Dinesh T.B.</w:t>
            </w:r>
          </w:p>
          <w:p w14:paraId="15219A2E" w14:textId="77777777" w:rsidR="007356D6" w:rsidRDefault="00D7602D">
            <w:pPr>
              <w:numPr>
                <w:ilvl w:val="0"/>
                <w:numId w:val="6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Tools development support: ISIF.asia, APC, Development Alternatives, Design Beku, Chiguru Coop</w:t>
            </w:r>
          </w:p>
        </w:tc>
      </w:tr>
      <w:tr w:rsidR="007356D6" w14:paraId="32D066C3" w14:textId="77777777">
        <w:trPr>
          <w:trHeight w:val="2296"/>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D5CE17"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14:paraId="50501D19" w14:textId="77777777" w:rsidR="007356D6" w:rsidRDefault="00D7602D">
            <w:pPr>
              <w:numPr>
                <w:ilvl w:val="0"/>
                <w:numId w:val="15"/>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Script/text is a barrier to internet access: more than 3 billion people are not comfortable with written text in any script</w:t>
            </w:r>
            <w:r>
              <w:rPr>
                <w:rFonts w:ascii="Times New Roman" w:eastAsia="Times New Roman" w:hAnsi="Times New Roman" w:cs="Times New Roman"/>
                <w:i/>
                <w:sz w:val="20"/>
                <w:szCs w:val="20"/>
              </w:rPr>
              <w:t>.</w:t>
            </w:r>
          </w:p>
          <w:p w14:paraId="2C7932A2" w14:textId="77777777" w:rsidR="007356D6" w:rsidRDefault="00D7602D">
            <w:pPr>
              <w:numPr>
                <w:ilvl w:val="0"/>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Many are functionally literate, but</w:t>
            </w:r>
          </w:p>
          <w:p w14:paraId="40982F91" w14:textId="77777777" w:rsidR="007356D6" w:rsidRDefault="00D7602D">
            <w:pPr>
              <w:numPr>
                <w:ilvl w:val="1"/>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prefer narratives to be read;</w:t>
            </w:r>
          </w:p>
          <w:p w14:paraId="2965A8CA" w14:textId="77777777" w:rsidR="007356D6" w:rsidRDefault="00D7602D">
            <w:pPr>
              <w:numPr>
                <w:ilvl w:val="1"/>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prefer listening and prefer watching; </w:t>
            </w:r>
          </w:p>
          <w:p w14:paraId="3C09226D" w14:textId="77777777" w:rsidR="007356D6" w:rsidRDefault="00D7602D">
            <w:pPr>
              <w:numPr>
                <w:ilvl w:val="1"/>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their stories need to be shared;</w:t>
            </w:r>
          </w:p>
          <w:p w14:paraId="457A8FA8" w14:textId="77777777" w:rsidR="007356D6" w:rsidRDefault="00D7602D">
            <w:pPr>
              <w:numPr>
                <w:ilvl w:val="1"/>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are of all ages.</w:t>
            </w:r>
          </w:p>
          <w:p w14:paraId="09E5F4A1" w14:textId="77777777" w:rsidR="007356D6" w:rsidRDefault="00D7602D">
            <w:pPr>
              <w:numPr>
                <w:ilvl w:val="0"/>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Specifics:</w:t>
            </w:r>
          </w:p>
          <w:p w14:paraId="55E67ABC" w14:textId="77777777" w:rsidR="007356D6" w:rsidRDefault="00D7602D">
            <w:pPr>
              <w:numPr>
                <w:ilvl w:val="1"/>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experience started from a COW (Community Owned Wireless) called COWMesh</w:t>
            </w:r>
          </w:p>
          <w:p w14:paraId="05FF6B9F" w14:textId="77777777" w:rsidR="007356D6" w:rsidRDefault="00D7602D">
            <w:pPr>
              <w:numPr>
                <w:ilvl w:val="1"/>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observing conversation patterns, one notices there is no content accessibility problem when there is no written text shared.</w:t>
            </w:r>
          </w:p>
        </w:tc>
      </w:tr>
      <w:tr w:rsidR="007356D6" w14:paraId="422042E8" w14:textId="77777777">
        <w:trPr>
          <w:trHeight w:val="109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322EE"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14:paraId="135FC102" w14:textId="77777777" w:rsidR="007356D6" w:rsidRDefault="00D7602D">
            <w:pPr>
              <w:numPr>
                <w:ilvl w:val="0"/>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Resolve the issue of the written text using hypermedia towards a social</w:t>
            </w:r>
            <w:r>
              <w:rPr>
                <w:rFonts w:ascii="Times New Roman" w:eastAsia="Times New Roman" w:hAnsi="Times New Roman" w:cs="Times New Roman"/>
                <w:sz w:val="20"/>
                <w:szCs w:val="20"/>
              </w:rPr>
              <w:t xml:space="preserve"> semantic web</w:t>
            </w:r>
          </w:p>
          <w:p w14:paraId="5B7C1436" w14:textId="77777777" w:rsidR="007356D6" w:rsidRDefault="00D7602D">
            <w:pPr>
              <w:numPr>
                <w:ilvl w:val="1"/>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Hypermedia linking and renarration using “Papad”: an open source media sharing and publishing platform. It allows audio and video uploads to a local server and adds tags in the form of text or images to entire or relevant parts (fragments) of</w:t>
            </w:r>
            <w:r>
              <w:rPr>
                <w:rFonts w:ascii="Times New Roman" w:eastAsia="Times New Roman" w:hAnsi="Times New Roman" w:cs="Times New Roman"/>
                <w:sz w:val="20"/>
                <w:szCs w:val="20"/>
              </w:rPr>
              <w:t xml:space="preserve"> files. </w:t>
            </w:r>
          </w:p>
        </w:tc>
      </w:tr>
      <w:tr w:rsidR="007356D6" w14:paraId="4D9BCAC7" w14:textId="77777777">
        <w:trPr>
          <w:trHeight w:val="3215"/>
        </w:trPr>
        <w:tc>
          <w:tcPr>
            <w:tcW w:w="2390" w:type="dxa"/>
            <w:tcBorders>
              <w:top w:val="nil"/>
              <w:left w:val="single" w:sz="8" w:space="0" w:color="000000"/>
              <w:bottom w:val="single" w:sz="6" w:space="0" w:color="000000"/>
              <w:right w:val="single" w:sz="8" w:space="0" w:color="000000"/>
            </w:tcBorders>
            <w:tcMar>
              <w:top w:w="100" w:type="dxa"/>
              <w:left w:w="100" w:type="dxa"/>
              <w:bottom w:w="100" w:type="dxa"/>
              <w:right w:w="100" w:type="dxa"/>
            </w:tcMar>
          </w:tcPr>
          <w:p w14:paraId="6AB393FF"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260" w:type="dxa"/>
            <w:tcBorders>
              <w:top w:val="nil"/>
              <w:left w:val="nil"/>
              <w:bottom w:val="single" w:sz="6" w:space="0" w:color="000000"/>
              <w:right w:val="single" w:sz="8" w:space="0" w:color="000000"/>
            </w:tcBorders>
            <w:tcMar>
              <w:top w:w="100" w:type="dxa"/>
              <w:left w:w="100" w:type="dxa"/>
              <w:bottom w:w="100" w:type="dxa"/>
              <w:right w:w="100" w:type="dxa"/>
            </w:tcMar>
          </w:tcPr>
          <w:p w14:paraId="0641960D" w14:textId="77777777" w:rsidR="007356D6" w:rsidRDefault="00D7602D">
            <w:pPr>
              <w:numPr>
                <w:ilvl w:val="0"/>
                <w:numId w:val="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1D26203B" w14:textId="77777777" w:rsidR="007356D6" w:rsidRDefault="00D7602D">
            <w:pPr>
              <w:numPr>
                <w:ilvl w:val="1"/>
                <w:numId w:val="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For the past several years Janastu has been working on Community Owned Wireless (COW) Mesh Networks in rural areas, with emphasis on distance learning. Recently, additional </w:t>
            </w:r>
            <w:r>
              <w:rPr>
                <w:rFonts w:ascii="Times New Roman" w:eastAsia="Times New Roman" w:hAnsi="Times New Roman" w:cs="Times New Roman"/>
                <w:sz w:val="20"/>
                <w:szCs w:val="20"/>
              </w:rPr>
              <w:t>attention was given to contents circulated on COWs and created by own CNs</w:t>
            </w:r>
          </w:p>
          <w:p w14:paraId="5AAF310D" w14:textId="77777777" w:rsidR="007356D6" w:rsidRDefault="00D7602D">
            <w:pPr>
              <w:numPr>
                <w:ilvl w:val="1"/>
                <w:numId w:val="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Focus on the larger number of people who are not "tech savvy" while also being marginalised by the literates.</w:t>
            </w:r>
          </w:p>
          <w:p w14:paraId="0DF9B3B7" w14:textId="77777777" w:rsidR="007356D6" w:rsidRDefault="00D7602D">
            <w:pPr>
              <w:numPr>
                <w:ilvl w:val="0"/>
                <w:numId w:val="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Impacts: we hope to direct attention to local content in local languages along with services on community networks. The effect of such interventions will stimulate economic transformation and situate the dialogue into an ecosystem that leads to a cohesive </w:t>
            </w:r>
            <w:r>
              <w:rPr>
                <w:rFonts w:ascii="Times New Roman" w:eastAsia="Times New Roman" w:hAnsi="Times New Roman" w:cs="Times New Roman"/>
                <w:sz w:val="20"/>
                <w:szCs w:val="20"/>
              </w:rPr>
              <w:t>future of remote communities.</w:t>
            </w:r>
          </w:p>
          <w:p w14:paraId="3F702DDA" w14:textId="77777777" w:rsidR="007356D6" w:rsidRDefault="00D7602D">
            <w:pPr>
              <w:numPr>
                <w:ilvl w:val="0"/>
                <w:numId w:val="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learned: policies and regulations need to support development of internet technology services that are internet independent</w:t>
            </w:r>
          </w:p>
        </w:tc>
      </w:tr>
      <w:tr w:rsidR="007356D6" w14:paraId="79293909" w14:textId="77777777">
        <w:trPr>
          <w:trHeight w:val="1189"/>
        </w:trPr>
        <w:tc>
          <w:tcPr>
            <w:tcW w:w="9650"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6CBF122D" w14:textId="77777777" w:rsidR="007356D6" w:rsidRDefault="00D7602D">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w:t>
            </w:r>
          </w:p>
        </w:tc>
      </w:tr>
      <w:tr w:rsidR="007356D6" w14:paraId="322ED441"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D7E15AA"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Has the problem been solved?</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911FD4A"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or rather partially addressed</w:t>
            </w:r>
          </w:p>
        </w:tc>
      </w:tr>
      <w:tr w:rsidR="007356D6" w14:paraId="19E8256A"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9918952"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F4DE21B"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Lack of reciprocation as there is not a concerted effort by many groups to see the need to bring low-literates on board the Web. New "problems" are our realisation that many more do not see a way to handle</w:t>
            </w:r>
            <w:r>
              <w:rPr>
                <w:rFonts w:ascii="Times New Roman" w:eastAsia="Times New Roman" w:hAnsi="Times New Roman" w:cs="Times New Roman"/>
                <w:sz w:val="20"/>
                <w:szCs w:val="20"/>
              </w:rPr>
              <w:t xml:space="preserve"> these problems and seem to sideline it. This is an internet scale problem and related to human rights, meaningful connection to communities who are low-literate, emergence of new problems is natural.</w:t>
            </w:r>
          </w:p>
        </w:tc>
      </w:tr>
      <w:tr w:rsidR="007356D6" w14:paraId="01C53A15"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9F013DE"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w:t>
            </w:r>
            <w:r>
              <w:rPr>
                <w:rFonts w:ascii="Times New Roman" w:eastAsia="Times New Roman" w:hAnsi="Times New Roman" w:cs="Times New Roman"/>
                <w:b/>
                <w:sz w:val="20"/>
                <w:szCs w:val="20"/>
              </w:rPr>
              <w:t>olutions needed to be developed?</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A372CFA"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Our attempts are to develop hyper-media archives and renarration tools. We have developed a couple of ways to help initiate a dialog on the possibilities to address the problem. We further developed what we proposed and als</w:t>
            </w:r>
            <w:r>
              <w:rPr>
                <w:rFonts w:ascii="Times New Roman" w:eastAsia="Times New Roman" w:hAnsi="Times New Roman" w:cs="Times New Roman"/>
                <w:sz w:val="20"/>
                <w:szCs w:val="20"/>
              </w:rPr>
              <w:t>o have new approaches to demonstrate a future of possible solutions.</w:t>
            </w:r>
          </w:p>
        </w:tc>
      </w:tr>
      <w:tr w:rsidR="007356D6" w14:paraId="6C49279B"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651E125"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E36EDB0"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are still striving to make it easy to use due to tech issues. We worked on scalability and localiza</w:t>
            </w:r>
            <w:r>
              <w:rPr>
                <w:rFonts w:ascii="Times New Roman" w:eastAsia="Times New Roman" w:hAnsi="Times New Roman" w:cs="Times New Roman"/>
                <w:sz w:val="20"/>
                <w:szCs w:val="20"/>
              </w:rPr>
              <w:t>tion and platforms are open for use and deployment.</w:t>
            </w:r>
          </w:p>
        </w:tc>
      </w:tr>
      <w:tr w:rsidR="007356D6" w14:paraId="17F96D90"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D815C7B"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6C5C3F4"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have gathered a number of local audio-visual narratives, developed a platform for hyper-media archiving and also for renarration which needs further fine tuning. Two platforms are now </w:t>
            </w:r>
            <w:r>
              <w:rPr>
                <w:rFonts w:ascii="Times New Roman" w:eastAsia="Times New Roman" w:hAnsi="Times New Roman" w:cs="Times New Roman"/>
                <w:sz w:val="20"/>
                <w:szCs w:val="20"/>
              </w:rPr>
              <w:t>available online, which can be deployed in community networks. Stories.janastu.org and sweets.janastu.org</w:t>
            </w:r>
          </w:p>
          <w:p w14:paraId="1BFB6FB7"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are documenting these as reference implementation of a tech-stack for including low-literates.</w:t>
            </w:r>
          </w:p>
        </w:tc>
      </w:tr>
      <w:tr w:rsidR="007356D6" w14:paraId="7E5453C8"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6ECFBFC"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C8BE81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surprisingly tough to motivate young developers to proactively work on these issues. We are yet to see policies which advocate for inclusion of low-literates in meaningful access discussions.</w:t>
            </w:r>
          </w:p>
        </w:tc>
      </w:tr>
      <w:tr w:rsidR="007356D6" w14:paraId="080C26ED"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41F2927"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A7A7CA2"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important to provide R+D support f</w:t>
            </w:r>
            <w:r>
              <w:rPr>
                <w:rFonts w:ascii="Times New Roman" w:eastAsia="Times New Roman" w:hAnsi="Times New Roman" w:cs="Times New Roman"/>
                <w:sz w:val="20"/>
                <w:szCs w:val="20"/>
              </w:rPr>
              <w:t>or such inclusion which is otherwise looked up as meaningless activity. We need to bring explicit focus and bring policy and technology people to see the 3 billion who are not able to search or browse search results of the text heavy Web.</w:t>
            </w:r>
          </w:p>
        </w:tc>
      </w:tr>
      <w:tr w:rsidR="007356D6" w14:paraId="25434372"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53DFDEE"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6437744"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w:t>
            </w:r>
            <w:r>
              <w:rPr>
                <w:rFonts w:ascii="Times New Roman" w:eastAsia="Times New Roman" w:hAnsi="Times New Roman" w:cs="Times New Roman"/>
                <w:sz w:val="20"/>
                <w:szCs w:val="20"/>
              </w:rPr>
              <w:t xml:space="preserve">ibly a larger recognition of this need and collective design and application of mindsets. The next step is to bring a federated approach to allow community expressions to bring in hyper links between text documents, media objects and community wide social </w:t>
            </w:r>
            <w:r>
              <w:rPr>
                <w:rFonts w:ascii="Times New Roman" w:eastAsia="Times New Roman" w:hAnsi="Times New Roman" w:cs="Times New Roman"/>
                <w:sz w:val="20"/>
                <w:szCs w:val="20"/>
              </w:rPr>
              <w:t xml:space="preserve">networks. This would allow a demonstration of how the Internet today can be annotated </w:t>
            </w:r>
            <w:r>
              <w:rPr>
                <w:rFonts w:ascii="Times New Roman" w:eastAsia="Times New Roman" w:hAnsi="Times New Roman" w:cs="Times New Roman"/>
                <w:sz w:val="20"/>
                <w:szCs w:val="20"/>
              </w:rPr>
              <w:lastRenderedPageBreak/>
              <w:t>by communities, thereby making it an internet for tomorrow that includes low-literate people as first-class citizens of the Web.</w:t>
            </w:r>
          </w:p>
        </w:tc>
      </w:tr>
      <w:tr w:rsidR="007356D6" w14:paraId="180A69A4"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07F3ACB"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Other important matter(s) on the project</w:t>
            </w:r>
            <w:r>
              <w:rPr>
                <w:rFonts w:ascii="Times New Roman" w:eastAsia="Times New Roman" w:hAnsi="Times New Roman" w:cs="Times New Roman"/>
                <w:b/>
                <w:sz w:val="20"/>
                <w:szCs w:val="20"/>
              </w:rPr>
              <w:t xml:space="preserve"> and not covered above:</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BFF3112"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 a very high level, for the first time in human evolution anyone can easily record a narrative, store and share in time and space. Historically, lack of this possibility can be seen as the reason for powerful institutions of the p</w:t>
            </w:r>
            <w:r>
              <w:rPr>
                <w:rFonts w:ascii="Times New Roman" w:eastAsia="Times New Roman" w:hAnsi="Times New Roman" w:cs="Times New Roman"/>
                <w:sz w:val="20"/>
                <w:szCs w:val="20"/>
              </w:rPr>
              <w:t xml:space="preserve">ast. Bible as a book would create an institute of churches, Quran mosques, Vedas and other texts have created a number of Brahmanical institutes, and the status quo continues this. All of them use these to determine power structures where the knowledge of </w:t>
            </w:r>
            <w:r>
              <w:rPr>
                <w:rFonts w:ascii="Times New Roman" w:eastAsia="Times New Roman" w:hAnsi="Times New Roman" w:cs="Times New Roman"/>
                <w:sz w:val="20"/>
                <w:szCs w:val="20"/>
              </w:rPr>
              <w:t>the book will mean higher in community structures. We have an opportunity now because of technology to bring in new senses for community structures. We may have to also regulate a runaway possibility that restructures knowledge as determined by more powerf</w:t>
            </w:r>
            <w:r>
              <w:rPr>
                <w:rFonts w:ascii="Times New Roman" w:eastAsia="Times New Roman" w:hAnsi="Times New Roman" w:cs="Times New Roman"/>
                <w:sz w:val="20"/>
                <w:szCs w:val="20"/>
              </w:rPr>
              <w:t>ul computationally and resources wise (e.g., chatGPT like AI).</w:t>
            </w:r>
          </w:p>
        </w:tc>
      </w:tr>
      <w:tr w:rsidR="007356D6" w14:paraId="6800194E" w14:textId="77777777">
        <w:trPr>
          <w:trHeight w:val="450"/>
        </w:trPr>
        <w:tc>
          <w:tcPr>
            <w:tcW w:w="965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28373D8" w14:textId="77777777" w:rsidR="007356D6" w:rsidRDefault="00D7602D">
            <w:pPr>
              <w:spacing w:line="240" w:lineRule="auto"/>
              <w:jc w:val="center"/>
              <w:rPr>
                <w:b/>
              </w:rPr>
            </w:pPr>
            <w:r>
              <w:rPr>
                <w:b/>
              </w:rPr>
              <w:t xml:space="preserve">2024 Follow-up on </w:t>
            </w:r>
            <w:r>
              <w:rPr>
                <w:b/>
                <w:highlight w:val="green"/>
              </w:rPr>
              <w:t>[write date]</w:t>
            </w:r>
          </w:p>
        </w:tc>
      </w:tr>
      <w:tr w:rsidR="007356D6" w14:paraId="7830A680" w14:textId="77777777">
        <w:trPr>
          <w:trHeight w:val="690"/>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6D7BE7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B3DCF5"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2EB7E665" w14:textId="77777777">
        <w:trPr>
          <w:trHeight w:val="690"/>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D70744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2AE59F"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6D9B79B1" w14:textId="77777777">
        <w:trPr>
          <w:trHeight w:val="454"/>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0E7E2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0B0A6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F17D537" w14:textId="77777777">
        <w:trPr>
          <w:trHeight w:val="464"/>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0987EC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454FE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6679F1B7" w14:textId="77777777">
        <w:trPr>
          <w:trHeight w:val="465"/>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05BAB7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CE0A9C"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142A8B8B" w14:textId="77777777">
        <w:trPr>
          <w:trHeight w:val="450"/>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F3ADAA9"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E375CA"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34E36CC0" w14:textId="77777777">
        <w:trPr>
          <w:trHeight w:val="405"/>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F38201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Lessons learned:</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3344CD"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3D68D32F" w14:textId="77777777">
        <w:trPr>
          <w:trHeight w:val="405"/>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3CFDA65"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FA0399"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797A7A4D" w14:textId="77777777" w:rsidR="007356D6" w:rsidRDefault="00D7602D">
      <w:pPr>
        <w:spacing w:line="240" w:lineRule="auto"/>
        <w:rPr>
          <w:rFonts w:ascii="Times New Roman" w:eastAsia="Times New Roman" w:hAnsi="Times New Roman" w:cs="Times New Roman"/>
          <w:b/>
          <w:color w:val="3C78D8"/>
          <w:sz w:val="26"/>
          <w:szCs w:val="26"/>
        </w:rPr>
      </w:pPr>
      <w:r>
        <w:rPr>
          <w:rFonts w:ascii="Times New Roman" w:eastAsia="Times New Roman" w:hAnsi="Times New Roman" w:cs="Times New Roman"/>
          <w:b/>
          <w:color w:val="3C78D8"/>
          <w:sz w:val="26"/>
          <w:szCs w:val="26"/>
        </w:rPr>
        <w:t xml:space="preserve"> </w:t>
      </w:r>
    </w:p>
    <w:p w14:paraId="6AB2E012" w14:textId="77777777" w:rsidR="007356D6" w:rsidRDefault="007356D6">
      <w:pPr>
        <w:spacing w:line="240" w:lineRule="auto"/>
        <w:rPr>
          <w:rFonts w:ascii="Times New Roman" w:eastAsia="Times New Roman" w:hAnsi="Times New Roman" w:cs="Times New Roman"/>
          <w:b/>
          <w:color w:val="3C78D8"/>
          <w:sz w:val="26"/>
          <w:szCs w:val="26"/>
        </w:rPr>
      </w:pPr>
    </w:p>
    <w:p w14:paraId="6B4AF55E" w14:textId="77777777" w:rsidR="007356D6" w:rsidRDefault="007356D6">
      <w:pPr>
        <w:spacing w:line="240" w:lineRule="auto"/>
        <w:rPr>
          <w:rFonts w:ascii="Times New Roman" w:eastAsia="Times New Roman" w:hAnsi="Times New Roman" w:cs="Times New Roman"/>
          <w:sz w:val="20"/>
          <w:szCs w:val="20"/>
        </w:rPr>
      </w:pPr>
    </w:p>
    <w:tbl>
      <w:tblPr>
        <w:tblStyle w:val="af2"/>
        <w:tblW w:w="9628" w:type="dxa"/>
        <w:tblInd w:w="16" w:type="dxa"/>
        <w:tblBorders>
          <w:top w:val="nil"/>
          <w:left w:val="nil"/>
          <w:bottom w:val="nil"/>
          <w:right w:val="nil"/>
          <w:insideH w:val="nil"/>
          <w:insideV w:val="nil"/>
        </w:tblBorders>
        <w:tblLayout w:type="fixed"/>
        <w:tblLook w:val="0600" w:firstRow="0" w:lastRow="0" w:firstColumn="0" w:lastColumn="0" w:noHBand="1" w:noVBand="1"/>
      </w:tblPr>
      <w:tblGrid>
        <w:gridCol w:w="2443"/>
        <w:gridCol w:w="7185"/>
      </w:tblGrid>
      <w:tr w:rsidR="007356D6" w14:paraId="568C6510" w14:textId="77777777">
        <w:trPr>
          <w:trHeight w:val="476"/>
        </w:trPr>
        <w:tc>
          <w:tcPr>
            <w:tcW w:w="9628"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5B40764"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2022 selected case</w:t>
            </w:r>
          </w:p>
        </w:tc>
      </w:tr>
      <w:tr w:rsidR="007356D6" w14:paraId="78C603FB" w14:textId="77777777">
        <w:trPr>
          <w:trHeight w:val="476"/>
        </w:trPr>
        <w:tc>
          <w:tcPr>
            <w:tcW w:w="2443" w:type="dxa"/>
            <w:tcBorders>
              <w:top w:val="single" w:sz="6"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30DF991" w14:textId="77777777" w:rsidR="007356D6" w:rsidRDefault="00D7602D">
            <w:pPr>
              <w:spacing w:line="240" w:lineRule="auto"/>
              <w:rPr>
                <w:rFonts w:ascii="Times New Roman" w:eastAsia="Times New Roman" w:hAnsi="Times New Roman" w:cs="Times New Roman"/>
                <w:b/>
              </w:rPr>
            </w:pPr>
            <w:r>
              <w:rPr>
                <w:rFonts w:ascii="Times New Roman" w:eastAsia="Times New Roman" w:hAnsi="Times New Roman" w:cs="Times New Roman"/>
                <w:b/>
              </w:rPr>
              <w:t>Case 5:</w:t>
            </w:r>
          </w:p>
        </w:tc>
        <w:tc>
          <w:tcPr>
            <w:tcW w:w="7185" w:type="dxa"/>
            <w:tcBorders>
              <w:top w:val="single" w:sz="6"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2A2C18F4"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Habeshaview - streaming platform of African movies in Ethiopia </w:t>
            </w:r>
          </w:p>
        </w:tc>
      </w:tr>
      <w:tr w:rsidR="007356D6" w14:paraId="6E0C5D58" w14:textId="77777777">
        <w:trPr>
          <w:trHeight w:val="459"/>
        </w:trPr>
        <w:tc>
          <w:tcPr>
            <w:tcW w:w="2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3AEFD"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AD1506" w14:textId="77777777" w:rsidR="007356D6" w:rsidRDefault="00D7602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East Africa and Ethiopian Diaspora</w:t>
            </w:r>
          </w:p>
        </w:tc>
      </w:tr>
      <w:tr w:rsidR="007356D6" w14:paraId="39BD8EB5" w14:textId="77777777">
        <w:trPr>
          <w:trHeight w:val="342"/>
        </w:trPr>
        <w:tc>
          <w:tcPr>
            <w:tcW w:w="24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65F4D3"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185" w:type="dxa"/>
            <w:tcBorders>
              <w:top w:val="nil"/>
              <w:left w:val="nil"/>
              <w:bottom w:val="single" w:sz="8" w:space="0" w:color="000000"/>
              <w:right w:val="single" w:sz="8" w:space="0" w:color="000000"/>
            </w:tcBorders>
            <w:tcMar>
              <w:top w:w="100" w:type="dxa"/>
              <w:left w:w="100" w:type="dxa"/>
              <w:bottom w:w="100" w:type="dxa"/>
              <w:right w:w="100" w:type="dxa"/>
            </w:tcMar>
          </w:tcPr>
          <w:p w14:paraId="416E263B" w14:textId="77777777" w:rsidR="007356D6" w:rsidRDefault="00D7602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Private investment (figures n/a)</w:t>
            </w:r>
          </w:p>
        </w:tc>
      </w:tr>
      <w:tr w:rsidR="007356D6" w14:paraId="736BAEDB" w14:textId="77777777">
        <w:trPr>
          <w:trHeight w:val="774"/>
        </w:trPr>
        <w:tc>
          <w:tcPr>
            <w:tcW w:w="24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189776"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185" w:type="dxa"/>
            <w:tcBorders>
              <w:top w:val="nil"/>
              <w:left w:val="nil"/>
              <w:bottom w:val="single" w:sz="8" w:space="0" w:color="000000"/>
              <w:right w:val="single" w:sz="8" w:space="0" w:color="000000"/>
            </w:tcBorders>
            <w:tcMar>
              <w:top w:w="100" w:type="dxa"/>
              <w:left w:w="100" w:type="dxa"/>
              <w:bottom w:w="100" w:type="dxa"/>
              <w:right w:w="100" w:type="dxa"/>
            </w:tcMar>
          </w:tcPr>
          <w:p w14:paraId="22775E50" w14:textId="77777777" w:rsidR="007356D6" w:rsidRDefault="00D7602D">
            <w:pPr>
              <w:numPr>
                <w:ilvl w:val="0"/>
                <w:numId w:val="2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Habeshaview Technology &amp; Multimedia</w:t>
            </w:r>
          </w:p>
          <w:p w14:paraId="5869F1BC" w14:textId="77777777" w:rsidR="007356D6" w:rsidRDefault="00D7602D">
            <w:pPr>
              <w:numPr>
                <w:ilvl w:val="1"/>
                <w:numId w:val="2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Focal point: Mrs Tigist Kebede, CEO</w:t>
            </w:r>
          </w:p>
        </w:tc>
      </w:tr>
      <w:tr w:rsidR="007356D6" w14:paraId="120D8FD1" w14:textId="77777777">
        <w:trPr>
          <w:trHeight w:val="774"/>
        </w:trPr>
        <w:tc>
          <w:tcPr>
            <w:tcW w:w="24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20078A"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185" w:type="dxa"/>
            <w:tcBorders>
              <w:top w:val="nil"/>
              <w:left w:val="nil"/>
              <w:bottom w:val="single" w:sz="8" w:space="0" w:color="000000"/>
              <w:right w:val="single" w:sz="8" w:space="0" w:color="000000"/>
            </w:tcBorders>
            <w:tcMar>
              <w:top w:w="100" w:type="dxa"/>
              <w:left w:w="100" w:type="dxa"/>
              <w:bottom w:w="100" w:type="dxa"/>
              <w:right w:w="100" w:type="dxa"/>
            </w:tcMar>
          </w:tcPr>
          <w:p w14:paraId="38CDF5E7" w14:textId="77777777" w:rsidR="007356D6" w:rsidRDefault="00D7602D">
            <w:pPr>
              <w:numPr>
                <w:ilvl w:val="0"/>
                <w:numId w:val="5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Making and offering local content in local languages that reflects and dramatises local cultural values, aspirations</w:t>
            </w:r>
            <w:r>
              <w:rPr>
                <w:rFonts w:ascii="Times New Roman" w:eastAsia="Times New Roman" w:hAnsi="Times New Roman" w:cs="Times New Roman"/>
                <w:sz w:val="20"/>
                <w:szCs w:val="20"/>
              </w:rPr>
              <w:t xml:space="preserve"> and societal debates remains challenging in many developing countries. As a result, people accessing local Internet services may not always see themselves and their cultures represented in the available content offered, a factor that undermines meaningful</w:t>
            </w:r>
            <w:r>
              <w:rPr>
                <w:rFonts w:ascii="Times New Roman" w:eastAsia="Times New Roman" w:hAnsi="Times New Roman" w:cs="Times New Roman"/>
                <w:sz w:val="20"/>
                <w:szCs w:val="20"/>
              </w:rPr>
              <w:t xml:space="preserve"> access. </w:t>
            </w:r>
          </w:p>
          <w:p w14:paraId="505F5E4E" w14:textId="77777777" w:rsidR="007356D6" w:rsidRDefault="00D7602D">
            <w:pPr>
              <w:numPr>
                <w:ilvl w:val="0"/>
                <w:numId w:val="5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Specifics:</w:t>
            </w:r>
          </w:p>
          <w:p w14:paraId="75B1C9CC" w14:textId="77777777" w:rsidR="007356D6" w:rsidRDefault="00D7602D">
            <w:pPr>
              <w:numPr>
                <w:ilvl w:val="1"/>
                <w:numId w:val="5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Market failure in local audiovisual production: Meeting the production and marketing costs of local audiovisual content is often more difficult in countries where sources of funding such as government subsidies, hypothecated tax, private equity and bank fi</w:t>
            </w:r>
            <w:r>
              <w:rPr>
                <w:rFonts w:ascii="Times New Roman" w:eastAsia="Times New Roman" w:hAnsi="Times New Roman" w:cs="Times New Roman"/>
                <w:sz w:val="20"/>
                <w:szCs w:val="20"/>
              </w:rPr>
              <w:t>nancing are not yet developed or – when they are – are not tailored to the needs of the local audiovisual content production industry. The result is that local market failure for culturally meaningful content production is not always being addressed. The i</w:t>
            </w:r>
            <w:r>
              <w:rPr>
                <w:rFonts w:ascii="Times New Roman" w:eastAsia="Times New Roman" w:hAnsi="Times New Roman" w:cs="Times New Roman"/>
                <w:sz w:val="20"/>
                <w:szCs w:val="20"/>
              </w:rPr>
              <w:t>ssue is compounded by the difficulty in constituting and protecting audiovisual works as IP assets that can be leveraged to raise certain forms of collateralised debt financing such as are available in some developed markets.</w:t>
            </w:r>
          </w:p>
          <w:p w14:paraId="409793CA" w14:textId="77777777" w:rsidR="007356D6" w:rsidRDefault="00D7602D">
            <w:pPr>
              <w:numPr>
                <w:ilvl w:val="1"/>
                <w:numId w:val="5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Lack of distribution channels,</w:t>
            </w:r>
            <w:r>
              <w:rPr>
                <w:rFonts w:ascii="Times New Roman" w:eastAsia="Times New Roman" w:hAnsi="Times New Roman" w:cs="Times New Roman"/>
                <w:sz w:val="20"/>
                <w:szCs w:val="20"/>
              </w:rPr>
              <w:t xml:space="preserve"> including online services: the content financing challenges are exacerbated by the difficulties involved in generating revenues from the distribution of audiovisual works across the local, regional and global value chains.</w:t>
            </w:r>
          </w:p>
        </w:tc>
      </w:tr>
      <w:tr w:rsidR="007356D6" w14:paraId="46CE3D3D" w14:textId="77777777">
        <w:trPr>
          <w:trHeight w:val="4046"/>
        </w:trPr>
        <w:tc>
          <w:tcPr>
            <w:tcW w:w="24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52F9D4"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Which were the actions taken to</w:t>
            </w:r>
            <w:r>
              <w:rPr>
                <w:rFonts w:ascii="Times New Roman" w:eastAsia="Times New Roman" w:hAnsi="Times New Roman" w:cs="Times New Roman"/>
                <w:b/>
                <w:sz w:val="20"/>
                <w:szCs w:val="20"/>
              </w:rPr>
              <w:t xml:space="preserve"> address the problem(s)?</w:t>
            </w:r>
          </w:p>
        </w:tc>
        <w:tc>
          <w:tcPr>
            <w:tcW w:w="7185" w:type="dxa"/>
            <w:tcBorders>
              <w:top w:val="nil"/>
              <w:left w:val="nil"/>
              <w:bottom w:val="single" w:sz="8" w:space="0" w:color="000000"/>
              <w:right w:val="single" w:sz="8" w:space="0" w:color="000000"/>
            </w:tcBorders>
            <w:tcMar>
              <w:top w:w="100" w:type="dxa"/>
              <w:left w:w="100" w:type="dxa"/>
              <w:bottom w:w="100" w:type="dxa"/>
              <w:right w:w="100" w:type="dxa"/>
            </w:tcMar>
          </w:tcPr>
          <w:p w14:paraId="6346F6A1" w14:textId="77777777" w:rsidR="007356D6" w:rsidRDefault="00D7602D">
            <w:pPr>
              <w:numPr>
                <w:ilvl w:val="0"/>
                <w:numId w:val="4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 a sustainable local content production and distribution model. The company specialises in bringing curated Ethiopian films, TV series and documentaries to Ethiopian citizens and diasporic populations.</w:t>
            </w:r>
          </w:p>
          <w:p w14:paraId="34707CAB" w14:textId="77777777" w:rsidR="007356D6" w:rsidRDefault="00D7602D">
            <w:pPr>
              <w:numPr>
                <w:ilvl w:val="0"/>
                <w:numId w:val="4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company has built </w:t>
            </w:r>
            <w:r>
              <w:rPr>
                <w:rFonts w:ascii="Times New Roman" w:eastAsia="Times New Roman" w:hAnsi="Times New Roman" w:cs="Times New Roman"/>
                <w:sz w:val="20"/>
                <w:szCs w:val="20"/>
              </w:rPr>
              <w:t>without subsidies in a production hub and an online distribution ecosystem based on a sizeable technology investment, at risk. Services offered include live news and entertainment channels with a ‘catch-up’ service as well as Video on Demand.</w:t>
            </w:r>
          </w:p>
          <w:p w14:paraId="5A6B8177" w14:textId="77777777" w:rsidR="007356D6" w:rsidRDefault="00D7602D">
            <w:pPr>
              <w:numPr>
                <w:ilvl w:val="0"/>
                <w:numId w:val="4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Culturally re</w:t>
            </w:r>
            <w:r>
              <w:rPr>
                <w:rFonts w:ascii="Times New Roman" w:eastAsia="Times New Roman" w:hAnsi="Times New Roman" w:cs="Times New Roman"/>
                <w:sz w:val="20"/>
                <w:szCs w:val="20"/>
              </w:rPr>
              <w:t>levant content is sourced from a variety of studios and producers and made available in multiple local languages within Ethiopia (most of times in the original language it was created in) and subtitles in major languages such as English, French and Arabic.</w:t>
            </w:r>
          </w:p>
          <w:p w14:paraId="695287CC" w14:textId="77777777" w:rsidR="007356D6" w:rsidRDefault="00D7602D">
            <w:pPr>
              <w:numPr>
                <w:ilvl w:val="0"/>
                <w:numId w:val="4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Online offer caters for the different purchasing power of the Ethiopian population and foreign users by offering content through different pricing options (e.g., 24-hours ‘all-you-can-eat’ subscriptions, pay-per-view, and regular monthly access). There is</w:t>
            </w:r>
            <w:r>
              <w:rPr>
                <w:rFonts w:ascii="Times New Roman" w:eastAsia="Times New Roman" w:hAnsi="Times New Roman" w:cs="Times New Roman"/>
                <w:sz w:val="20"/>
                <w:szCs w:val="20"/>
              </w:rPr>
              <w:t xml:space="preserve"> also free content from producers and studios that are motivated to reach a wider audience at home and in the diaspora.</w:t>
            </w:r>
          </w:p>
          <w:p w14:paraId="1E308796" w14:textId="77777777" w:rsidR="007356D6" w:rsidRDefault="00D7602D">
            <w:pPr>
              <w:numPr>
                <w:ilvl w:val="0"/>
                <w:numId w:val="4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creating an opportunity for local audiovisual producers in Ethiopia to monetise the content they make in local languages, Habeshaview</w:t>
            </w:r>
            <w:r>
              <w:rPr>
                <w:rFonts w:ascii="Times New Roman" w:eastAsia="Times New Roman" w:hAnsi="Times New Roman" w:cs="Times New Roman"/>
                <w:sz w:val="20"/>
                <w:szCs w:val="20"/>
              </w:rPr>
              <w:t xml:space="preserve"> contributes to adding a cultural dimension to meaningful access: the curated content reflects Ethiopian users’ own cultures, social issues and creative preferences.</w:t>
            </w:r>
          </w:p>
        </w:tc>
      </w:tr>
      <w:tr w:rsidR="007356D6" w14:paraId="251BF427" w14:textId="77777777">
        <w:trPr>
          <w:trHeight w:val="1500"/>
        </w:trPr>
        <w:tc>
          <w:tcPr>
            <w:tcW w:w="2443" w:type="dxa"/>
            <w:tcBorders>
              <w:top w:val="nil"/>
              <w:left w:val="single" w:sz="8" w:space="0" w:color="000000"/>
              <w:bottom w:val="single" w:sz="6" w:space="0" w:color="000000"/>
              <w:right w:val="single" w:sz="8" w:space="0" w:color="000000"/>
            </w:tcBorders>
            <w:tcMar>
              <w:top w:w="100" w:type="dxa"/>
              <w:left w:w="100" w:type="dxa"/>
              <w:bottom w:w="100" w:type="dxa"/>
              <w:right w:w="100" w:type="dxa"/>
            </w:tcMar>
          </w:tcPr>
          <w:p w14:paraId="71102C64"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185" w:type="dxa"/>
            <w:tcBorders>
              <w:top w:val="nil"/>
              <w:left w:val="nil"/>
              <w:bottom w:val="single" w:sz="6" w:space="0" w:color="000000"/>
              <w:right w:val="single" w:sz="8" w:space="0" w:color="000000"/>
            </w:tcBorders>
            <w:tcMar>
              <w:top w:w="100" w:type="dxa"/>
              <w:left w:w="100" w:type="dxa"/>
              <w:bottom w:w="100" w:type="dxa"/>
              <w:right w:w="100" w:type="dxa"/>
            </w:tcMar>
          </w:tcPr>
          <w:p w14:paraId="1483F35D" w14:textId="77777777" w:rsidR="007356D6" w:rsidRDefault="00D7602D">
            <w:pPr>
              <w:numPr>
                <w:ilvl w:val="0"/>
                <w:numId w:val="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creating an opportunity for local audiovisual producers in Ethiopia to monetise the content they make in local languages, Habeshaview contributes to meaningful access by adding a cultural dimension to it. The curated content reflects Ethiopian users’ ow</w:t>
            </w:r>
            <w:r>
              <w:rPr>
                <w:rFonts w:ascii="Times New Roman" w:eastAsia="Times New Roman" w:hAnsi="Times New Roman" w:cs="Times New Roman"/>
                <w:sz w:val="20"/>
                <w:szCs w:val="20"/>
              </w:rPr>
              <w:t>n values, social issues and creative preferences.</w:t>
            </w:r>
          </w:p>
        </w:tc>
      </w:tr>
      <w:tr w:rsidR="007356D6" w14:paraId="07FE8C0D" w14:textId="77777777">
        <w:trPr>
          <w:trHeight w:val="614"/>
        </w:trPr>
        <w:tc>
          <w:tcPr>
            <w:tcW w:w="9628"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3C724CF1" w14:textId="77777777" w:rsidR="007356D6" w:rsidRDefault="00D7602D">
            <w:pPr>
              <w:spacing w:before="240" w:after="240"/>
              <w:ind w:left="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w:t>
            </w:r>
          </w:p>
        </w:tc>
      </w:tr>
      <w:tr w:rsidR="007356D6" w14:paraId="498188AF"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B4F81AC"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42E911B"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has been partially solved. In May this year, Habeshaview signed a carriage deal with ethio telecom, Ethiopia's leading ISP and launched the first IPTV service in Ethiopia in October 2023. The agreement gives habeshaview's online platform and its diverse</w:t>
            </w:r>
            <w:r>
              <w:rPr>
                <w:rFonts w:ascii="Times New Roman" w:eastAsia="Times New Roman" w:hAnsi="Times New Roman" w:cs="Times New Roman"/>
                <w:sz w:val="20"/>
                <w:szCs w:val="20"/>
              </w:rPr>
              <w:t xml:space="preserve"> offer of news and locally sourced original audiovisual content, potential access to a user base of 72 million out of which over 38 million are smart phone, data and voice package customers. habeshaview's technology also permits access to the platform by s</w:t>
            </w:r>
            <w:r>
              <w:rPr>
                <w:rFonts w:ascii="Times New Roman" w:eastAsia="Times New Roman" w:hAnsi="Times New Roman" w:cs="Times New Roman"/>
                <w:sz w:val="20"/>
                <w:szCs w:val="20"/>
              </w:rPr>
              <w:t>ubscribers in other countries; depending on its licence agreements with individual local content producers, it will either make the content available globally, or it will apply geofiltering technology, to respect and protect creators' IP according to the t</w:t>
            </w:r>
            <w:r>
              <w:rPr>
                <w:rFonts w:ascii="Times New Roman" w:eastAsia="Times New Roman" w:hAnsi="Times New Roman" w:cs="Times New Roman"/>
                <w:sz w:val="20"/>
                <w:szCs w:val="20"/>
              </w:rPr>
              <w:t>erms of their agreements.</w:t>
            </w:r>
          </w:p>
        </w:tc>
      </w:tr>
      <w:tr w:rsidR="007356D6" w14:paraId="2D27F33E"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9656D2E"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31A3BC1"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suspensions in the context of civil conflicts in Ethiopia have had some slowing down effect in the capability of habeshaview to reach - and attract - new potential subsc</w:t>
            </w:r>
            <w:r>
              <w:rPr>
                <w:rFonts w:ascii="Times New Roman" w:eastAsia="Times New Roman" w:hAnsi="Times New Roman" w:cs="Times New Roman"/>
                <w:sz w:val="20"/>
                <w:szCs w:val="20"/>
              </w:rPr>
              <w:t>ribers within the country.</w:t>
            </w:r>
          </w:p>
          <w:p w14:paraId="70731DDF"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B4DEE26"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Additionally, the rising cost of living combined with an adverse economic climate in Habesha's country of establishment has meant an intensification of the challenges in generating new original audiovisual content for the platf</w:t>
            </w:r>
            <w:r>
              <w:rPr>
                <w:rFonts w:ascii="Times New Roman" w:eastAsia="Times New Roman" w:hAnsi="Times New Roman" w:cs="Times New Roman"/>
                <w:sz w:val="20"/>
                <w:szCs w:val="20"/>
              </w:rPr>
              <w:t>orm, as the already fragile sustainability of producing local content has been further weakened.</w:t>
            </w:r>
          </w:p>
          <w:p w14:paraId="47B5DE47"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14:paraId="271D25A8"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Widespread illegal use of audiovisual works - sometimes organised on a criminal scale - is further undermining the ability for local creators and producers o</w:t>
            </w:r>
            <w:r>
              <w:rPr>
                <w:rFonts w:ascii="Times New Roman" w:eastAsia="Times New Roman" w:hAnsi="Times New Roman" w:cs="Times New Roman"/>
                <w:sz w:val="20"/>
                <w:szCs w:val="20"/>
              </w:rPr>
              <w:t>f content in local languages, to finance new works. Local creators recognise that this is also a cultural challenge and that there is a need for more awareness-raising campaigns about the link between illegal downloads or physical media copying and the cha</w:t>
            </w:r>
            <w:r>
              <w:rPr>
                <w:rFonts w:ascii="Times New Roman" w:eastAsia="Times New Roman" w:hAnsi="Times New Roman" w:cs="Times New Roman"/>
                <w:sz w:val="20"/>
                <w:szCs w:val="20"/>
              </w:rPr>
              <w:t>llenges experienced by local film and TV industry workers in making a sustainable living, so they may continue to make audiovisual works that communicate or dramatise relevant local socio-cultural or economic themes and preoccupations.</w:t>
            </w:r>
          </w:p>
          <w:p w14:paraId="243A6C09"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04F4C1D"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Finally, the local</w:t>
            </w:r>
            <w:r>
              <w:rPr>
                <w:rFonts w:ascii="Times New Roman" w:eastAsia="Times New Roman" w:hAnsi="Times New Roman" w:cs="Times New Roman"/>
                <w:sz w:val="20"/>
                <w:szCs w:val="20"/>
              </w:rPr>
              <w:t xml:space="preserve"> content industry suffers from a lack of specialisation and professionalisation, due to insufficient resources available to training and skills' development and the difficulties for film and TV workers to make a sustainable living.</w:t>
            </w:r>
          </w:p>
        </w:tc>
      </w:tr>
      <w:tr w:rsidR="007356D6" w14:paraId="34A6D08B"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0AB4AFE"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2022 solutions still work to tackle the problem? New solutions needed to be developed?</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668D853"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a fair degree, habeshaview has had to adapt its 2022 local content generation strategy to meet the challenges of a tougher economic environment. In the current climat</w:t>
            </w:r>
            <w:r>
              <w:rPr>
                <w:rFonts w:ascii="Times New Roman" w:eastAsia="Times New Roman" w:hAnsi="Times New Roman" w:cs="Times New Roman"/>
                <w:sz w:val="20"/>
                <w:szCs w:val="20"/>
              </w:rPr>
              <w:t>e, Habesha either finances a new project 100%, controlling the IP on the finished film or series, or it seeks to share the financial risk by attracting co-financing partners in Ethiopia or further afield, to enable the content to be made and rights to spli</w:t>
            </w:r>
            <w:r>
              <w:rPr>
                <w:rFonts w:ascii="Times New Roman" w:eastAsia="Times New Roman" w:hAnsi="Times New Roman" w:cs="Times New Roman"/>
                <w:sz w:val="20"/>
                <w:szCs w:val="20"/>
              </w:rPr>
              <w:t>t pro rata of Habesha's and partners' relative contributions.</w:t>
            </w:r>
          </w:p>
          <w:p w14:paraId="2F3FD147"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E4C64A3"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habeshaview has also adopted a flexible business model in dealing with local content creators and producers. It will only buy out all rights in cases when it finances the content 100%; in all other cases, it will either request an exclusive licence for its</w:t>
            </w:r>
            <w:r>
              <w:rPr>
                <w:rFonts w:ascii="Times New Roman" w:eastAsia="Times New Roman" w:hAnsi="Times New Roman" w:cs="Times New Roman"/>
                <w:sz w:val="20"/>
                <w:szCs w:val="20"/>
              </w:rPr>
              <w:t xml:space="preserve"> platform for a maximum term of 2 to 3 years, being mindful of the need for content producers to exploit their works in other markets after that initial window, in order to earn additional revenue; or it will offer a straight revenue-share based on a recog</w:t>
            </w:r>
            <w:r>
              <w:rPr>
                <w:rFonts w:ascii="Times New Roman" w:eastAsia="Times New Roman" w:hAnsi="Times New Roman" w:cs="Times New Roman"/>
                <w:sz w:val="20"/>
                <w:szCs w:val="20"/>
              </w:rPr>
              <w:t>nition of the value of the producers' work as well as the value-added of being programmed on the habeshaview platform.</w:t>
            </w:r>
          </w:p>
          <w:p w14:paraId="13BDA4DF"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D6AC8D0"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address the threat of the content being devalued through piracy and illegal uses, habeshaview has deployed a bespoke Digital Rights </w:t>
            </w:r>
            <w:r>
              <w:rPr>
                <w:rFonts w:ascii="Times New Roman" w:eastAsia="Times New Roman" w:hAnsi="Times New Roman" w:cs="Times New Roman"/>
                <w:sz w:val="20"/>
                <w:szCs w:val="20"/>
              </w:rPr>
              <w:t>Management [DRM] technology, which allows the platform to protect the integrity of the local creators' works and their economic value.</w:t>
            </w:r>
          </w:p>
        </w:tc>
      </w:tr>
      <w:tr w:rsidR="007356D6" w14:paraId="05E98844"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E9B3D6F"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490BC78"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habeshaview's business and social responsibility ethos is based o</w:t>
            </w:r>
            <w:r>
              <w:rPr>
                <w:rFonts w:ascii="Times New Roman" w:eastAsia="Times New Roman" w:hAnsi="Times New Roman" w:cs="Times New Roman"/>
                <w:sz w:val="20"/>
                <w:szCs w:val="20"/>
              </w:rPr>
              <w:t>n applying a flexible rate card, with offers adapted to the different levels of subscriber purchasing power and available income, based on the firm belief that culture and entertainment - especially of the kind that genuinely reflects and honours local cul</w:t>
            </w:r>
            <w:r>
              <w:rPr>
                <w:rFonts w:ascii="Times New Roman" w:eastAsia="Times New Roman" w:hAnsi="Times New Roman" w:cs="Times New Roman"/>
                <w:sz w:val="20"/>
                <w:szCs w:val="20"/>
              </w:rPr>
              <w:t>tures and languages - sits very high in the pyramid of people's needs.</w:t>
            </w:r>
          </w:p>
          <w:p w14:paraId="5F9B05DC"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93CA096"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To illustrate this approach in practice: within Ethiopia, habeshaview offers a low-priced 24h 'all-you-can-eat' subscription that reflects many local consumers' shifting priorities in</w:t>
            </w:r>
            <w:r>
              <w:rPr>
                <w:rFonts w:ascii="Times New Roman" w:eastAsia="Times New Roman" w:hAnsi="Times New Roman" w:cs="Times New Roman"/>
                <w:sz w:val="20"/>
                <w:szCs w:val="20"/>
              </w:rPr>
              <w:t xml:space="preserve"> the allocation of film/video entertainment needs. It also offers a very discounted monthly 'Silver' package with advertising or a monthly 'Gold' package with the same content available ad-free.</w:t>
            </w:r>
          </w:p>
        </w:tc>
      </w:tr>
      <w:tr w:rsidR="007356D6" w14:paraId="2D6A582A"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1D5026"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New milestones:</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E98AB87"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habeshaview's May 2023 carriage agreement with ethio telecom makes the company the first IPTV service provider to launch in Ethiopia to provide potential access by 72 million ethio telecom’s subscribers to this local film/video content platform in local</w:t>
            </w:r>
            <w:r>
              <w:rPr>
                <w:rFonts w:ascii="Times New Roman" w:eastAsia="Times New Roman" w:hAnsi="Times New Roman" w:cs="Times New Roman"/>
                <w:sz w:val="20"/>
                <w:szCs w:val="20"/>
              </w:rPr>
              <w:t xml:space="preserve"> languages - the extended outreach is the single most important factor in the development of habeshaview's platform and its social/cultural impact</w:t>
            </w:r>
          </w:p>
          <w:p w14:paraId="21F93F46"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A flexible rate card that factors in the economic challenges faced by many local subscribers</w:t>
            </w:r>
          </w:p>
          <w:p w14:paraId="71FD231D"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A strategi</w:t>
            </w:r>
            <w:r>
              <w:rPr>
                <w:rFonts w:ascii="Times New Roman" w:eastAsia="Times New Roman" w:hAnsi="Times New Roman" w:cs="Times New Roman"/>
                <w:sz w:val="20"/>
                <w:szCs w:val="20"/>
              </w:rPr>
              <w:t>c approach to original new content financing and production, through 100% upfront financing or via co-financing with third parties</w:t>
            </w:r>
          </w:p>
          <w:p w14:paraId="173902B4"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A business philosophy that considers the importance of helping local creators and producers of content become economically</w:t>
            </w:r>
            <w:r>
              <w:rPr>
                <w:rFonts w:ascii="Times New Roman" w:eastAsia="Times New Roman" w:hAnsi="Times New Roman" w:cs="Times New Roman"/>
                <w:sz w:val="20"/>
                <w:szCs w:val="20"/>
              </w:rPr>
              <w:t xml:space="preserve"> sustainable in the long run.</w:t>
            </w:r>
          </w:p>
          <w:p w14:paraId="01296DEA"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Option to license the habeshaview’s state of the art OTT / IPTV platform to third party telcos, network operators and broadcasters generates revenue .</w:t>
            </w:r>
          </w:p>
        </w:tc>
      </w:tr>
      <w:tr w:rsidR="007356D6" w14:paraId="470CECBD"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3C518E6"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B592C80"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See reply to previous question/questions.</w:t>
            </w:r>
          </w:p>
        </w:tc>
      </w:tr>
      <w:tr w:rsidR="007356D6" w14:paraId="7DA0996D"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5E2D804"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w:t>
            </w:r>
            <w:r>
              <w:rPr>
                <w:rFonts w:ascii="Times New Roman" w:eastAsia="Times New Roman" w:hAnsi="Times New Roman" w:cs="Times New Roman"/>
                <w:b/>
                <w:sz w:val="20"/>
                <w:szCs w:val="20"/>
              </w:rPr>
              <w:t>ned:</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A85E49F"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There is a need to consider Internet capacity building and measures to boost the economic sustainability of local audiovisual content as inseparable strategic constructs. Meaningful cultural content in local languages drives demand for Internet connec</w:t>
            </w:r>
            <w:r>
              <w:rPr>
                <w:rFonts w:ascii="Times New Roman" w:eastAsia="Times New Roman" w:hAnsi="Times New Roman" w:cs="Times New Roman"/>
                <w:sz w:val="20"/>
                <w:szCs w:val="20"/>
              </w:rPr>
              <w:t>tion (be they fixed or mobile) the world over. Governments, civil societies and local creative industries need to work in a joined-up way to address local content sustainability as an integral part of the strategy to develop a meaningful Internet for All.</w:t>
            </w:r>
          </w:p>
        </w:tc>
      </w:tr>
      <w:tr w:rsidR="007356D6" w14:paraId="4092FDD9"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52AD992"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7E969F7"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lot of work remains to be done to promote economically viable local creation and production of content and the role of platforms such as habeshaview is vital in this respect, as they provide alternatives to globally tailored content curated </w:t>
            </w:r>
            <w:r>
              <w:rPr>
                <w:rFonts w:ascii="Times New Roman" w:eastAsia="Times New Roman" w:hAnsi="Times New Roman" w:cs="Times New Roman"/>
                <w:sz w:val="20"/>
                <w:szCs w:val="20"/>
              </w:rPr>
              <w:t>through larger international streaming platforms. Additionally, habeshaview is very committed to develop its presence amongst expatriate Eastern African communities at large and the Ethiopian Diaspora in particular. Emigration too often results in language</w:t>
            </w:r>
            <w:r>
              <w:rPr>
                <w:rFonts w:ascii="Times New Roman" w:eastAsia="Times New Roman" w:hAnsi="Times New Roman" w:cs="Times New Roman"/>
                <w:sz w:val="20"/>
                <w:szCs w:val="20"/>
              </w:rPr>
              <w:t xml:space="preserve">s and cultural riches being lost amongst the emigrating populations and subsequent generations. Platforms such as habeshaview perform a socially beneficial service by bringing relevant content from the home countries to communities where underlying demand </w:t>
            </w:r>
            <w:r>
              <w:rPr>
                <w:rFonts w:ascii="Times New Roman" w:eastAsia="Times New Roman" w:hAnsi="Times New Roman" w:cs="Times New Roman"/>
                <w:sz w:val="20"/>
                <w:szCs w:val="20"/>
              </w:rPr>
              <w:t>for content that upholds their cultures is strong.</w:t>
            </w:r>
          </w:p>
        </w:tc>
      </w:tr>
      <w:tr w:rsidR="007356D6" w14:paraId="199C9BAE"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22154DB"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Other important matter(s) on the project and not covered above:</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3C14C65"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Very significant progress on meaningful access to this - one of the few - local platforms dedicated to culturally relevant local content in </w:t>
            </w:r>
            <w:r>
              <w:rPr>
                <w:rFonts w:ascii="Times New Roman" w:eastAsia="Times New Roman" w:hAnsi="Times New Roman" w:cs="Times New Roman"/>
                <w:sz w:val="20"/>
                <w:szCs w:val="20"/>
              </w:rPr>
              <w:t>local languages (e.g., Amharic, Tigrinya, Oromo) was achieved through the carriage agreement with ethio telecom, the country's leading telco.</w:t>
            </w:r>
          </w:p>
        </w:tc>
      </w:tr>
      <w:tr w:rsidR="007356D6" w14:paraId="1B6A1711" w14:textId="77777777">
        <w:trPr>
          <w:trHeight w:val="480"/>
        </w:trPr>
        <w:tc>
          <w:tcPr>
            <w:tcW w:w="9628"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80D25A6" w14:textId="77777777" w:rsidR="007356D6" w:rsidRDefault="00D7602D">
            <w:pPr>
              <w:spacing w:line="240" w:lineRule="auto"/>
              <w:jc w:val="center"/>
              <w:rPr>
                <w:b/>
              </w:rPr>
            </w:pPr>
            <w:r>
              <w:rPr>
                <w:b/>
              </w:rPr>
              <w:t xml:space="preserve">2024 Follow-up on </w:t>
            </w:r>
            <w:r>
              <w:rPr>
                <w:b/>
                <w:highlight w:val="green"/>
              </w:rPr>
              <w:t>[write date]</w:t>
            </w:r>
          </w:p>
        </w:tc>
      </w:tr>
      <w:tr w:rsidR="007356D6" w14:paraId="289004FC" w14:textId="77777777">
        <w:trPr>
          <w:trHeight w:val="69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0039EC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EEE33A"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(partial, fully; include numbers when possible) </w:t>
            </w:r>
          </w:p>
        </w:tc>
      </w:tr>
      <w:tr w:rsidR="007356D6" w14:paraId="28BF2577" w14:textId="77777777">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81BF40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6D0756"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3D04E56" w14:textId="77777777">
        <w:trPr>
          <w:trHeight w:val="705"/>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80D1B0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D38CE0"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0885AF0" w14:textId="77777777">
        <w:trPr>
          <w:trHeight w:val="675"/>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959EE5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1A5DA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54CFB4A" w14:textId="77777777">
        <w:trPr>
          <w:trHeight w:val="45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A157FA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CF1B0A"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3B47A3B2" w14:textId="77777777">
        <w:trPr>
          <w:trHeight w:val="465"/>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551299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B63CD0"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2A3AAEED" w14:textId="77777777">
        <w:trPr>
          <w:trHeight w:val="555"/>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65FBCF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E1B070"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670B4D15" w14:textId="77777777">
        <w:trPr>
          <w:trHeight w:val="555"/>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85585B4"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F7086E"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379918D6" w14:textId="77777777" w:rsidR="007356D6" w:rsidRDefault="007356D6">
      <w:pPr>
        <w:spacing w:line="240" w:lineRule="auto"/>
      </w:pPr>
    </w:p>
    <w:p w14:paraId="075AAD67" w14:textId="77777777" w:rsidR="007356D6" w:rsidRDefault="007356D6">
      <w:pPr>
        <w:pStyle w:val="Heading3"/>
        <w:rPr>
          <w:rFonts w:ascii="Times New Roman" w:eastAsia="Times New Roman" w:hAnsi="Times New Roman" w:cs="Times New Roman"/>
          <w:color w:val="38761D"/>
        </w:rPr>
      </w:pPr>
      <w:bookmarkStart w:id="31" w:name="_80qsgjqgcyfa" w:colFirst="0" w:colLast="0"/>
      <w:bookmarkEnd w:id="31"/>
    </w:p>
    <w:p w14:paraId="3CBAEBDC" w14:textId="77777777" w:rsidR="007356D6" w:rsidRDefault="00D7602D">
      <w:pPr>
        <w:numPr>
          <w:ilvl w:val="2"/>
          <w:numId w:val="56"/>
        </w:numPr>
        <w:spacing w:after="240"/>
      </w:pPr>
      <w:r>
        <w:rPr>
          <w:rFonts w:ascii="Times New Roman" w:eastAsia="Times New Roman" w:hAnsi="Times New Roman" w:cs="Times New Roman"/>
          <w:color w:val="38761D"/>
          <w:sz w:val="28"/>
          <w:szCs w:val="28"/>
        </w:rPr>
        <w:t>Preliminary conclusions and challenges for scaling/localisation (if any)</w:t>
      </w:r>
      <w:r>
        <w:rPr>
          <w:rFonts w:ascii="Times New Roman" w:eastAsia="Times New Roman" w:hAnsi="Times New Roman" w:cs="Times New Roman"/>
          <w:color w:val="38761D"/>
          <w:sz w:val="28"/>
          <w:szCs w:val="28"/>
        </w:rPr>
        <w:br/>
      </w:r>
    </w:p>
    <w:p w14:paraId="69F72D89" w14:textId="77777777" w:rsidR="007356D6" w:rsidRDefault="007356D6"/>
    <w:p w14:paraId="4A9AE013" w14:textId="77777777" w:rsidR="007356D6" w:rsidRDefault="007356D6"/>
    <w:p w14:paraId="329303AF" w14:textId="77777777" w:rsidR="007356D6" w:rsidRDefault="007356D6">
      <w:pPr>
        <w:ind w:left="1440"/>
      </w:pPr>
    </w:p>
    <w:p w14:paraId="4D010EB0" w14:textId="77777777" w:rsidR="007356D6" w:rsidRDefault="007356D6">
      <w:pPr>
        <w:ind w:left="1440"/>
      </w:pPr>
    </w:p>
    <w:p w14:paraId="3C9D6608" w14:textId="77777777" w:rsidR="007356D6" w:rsidRDefault="007356D6">
      <w:pPr>
        <w:ind w:left="1440"/>
      </w:pPr>
    </w:p>
    <w:p w14:paraId="7D60108D" w14:textId="77777777" w:rsidR="007356D6" w:rsidRDefault="007356D6">
      <w:pPr>
        <w:ind w:left="1440"/>
      </w:pPr>
    </w:p>
    <w:p w14:paraId="6967F4A5" w14:textId="77777777" w:rsidR="007356D6" w:rsidRDefault="00D7602D">
      <w:r>
        <w:br w:type="page"/>
      </w:r>
    </w:p>
    <w:p w14:paraId="54214EDC" w14:textId="77777777" w:rsidR="007356D6" w:rsidRDefault="007356D6"/>
    <w:p w14:paraId="1CDB1D80" w14:textId="77777777" w:rsidR="007356D6" w:rsidRDefault="00D7602D">
      <w:pPr>
        <w:pStyle w:val="Heading3"/>
        <w:numPr>
          <w:ilvl w:val="1"/>
          <w:numId w:val="56"/>
        </w:numPr>
      </w:pPr>
      <w:bookmarkStart w:id="32" w:name="_j2z2zb8yeil5" w:colFirst="0" w:colLast="0"/>
      <w:bookmarkEnd w:id="32"/>
      <w:r>
        <w:rPr>
          <w:rFonts w:ascii="Times New Roman" w:eastAsia="Times New Roman" w:hAnsi="Times New Roman" w:cs="Times New Roman"/>
          <w:color w:val="38761D"/>
        </w:rPr>
        <w:t>Exploring Capacity Development</w:t>
      </w:r>
    </w:p>
    <w:p w14:paraId="1D07673B" w14:textId="77777777" w:rsidR="007356D6" w:rsidRDefault="007356D6"/>
    <w:p w14:paraId="401010F5" w14:textId="77777777" w:rsidR="007356D6" w:rsidRDefault="00D7602D">
      <w:pPr>
        <w:pStyle w:val="Heading3"/>
        <w:numPr>
          <w:ilvl w:val="2"/>
          <w:numId w:val="56"/>
        </w:numPr>
      </w:pPr>
      <w:bookmarkStart w:id="33" w:name="_p682b7lct1z" w:colFirst="0" w:colLast="0"/>
      <w:bookmarkEnd w:id="33"/>
      <w:r>
        <w:rPr>
          <w:rFonts w:ascii="Times New Roman" w:eastAsia="Times New Roman" w:hAnsi="Times New Roman" w:cs="Times New Roman"/>
          <w:color w:val="38761D"/>
        </w:rPr>
        <w:t>Evaluation of selected new best practices</w:t>
      </w:r>
    </w:p>
    <w:tbl>
      <w:tblPr>
        <w:tblStyle w:val="af3"/>
        <w:tblW w:w="9795" w:type="dxa"/>
        <w:tblBorders>
          <w:top w:val="nil"/>
          <w:left w:val="nil"/>
          <w:bottom w:val="nil"/>
          <w:right w:val="nil"/>
          <w:insideH w:val="nil"/>
          <w:insideV w:val="nil"/>
        </w:tblBorders>
        <w:tblLayout w:type="fixed"/>
        <w:tblLook w:val="0600" w:firstRow="0" w:lastRow="0" w:firstColumn="0" w:lastColumn="0" w:noHBand="1" w:noVBand="1"/>
      </w:tblPr>
      <w:tblGrid>
        <w:gridCol w:w="2190"/>
        <w:gridCol w:w="7605"/>
      </w:tblGrid>
      <w:tr w:rsidR="007356D6" w14:paraId="50432A59" w14:textId="77777777">
        <w:trPr>
          <w:trHeight w:val="417"/>
        </w:trPr>
        <w:tc>
          <w:tcPr>
            <w:tcW w:w="2190" w:type="dxa"/>
            <w:tcBorders>
              <w:top w:val="single" w:sz="5" w:space="0" w:color="000000"/>
              <w:left w:val="single" w:sz="5" w:space="0" w:color="000000"/>
              <w:bottom w:val="single" w:sz="5" w:space="0" w:color="000000"/>
              <w:right w:val="single" w:sz="5" w:space="0" w:color="000000"/>
            </w:tcBorders>
            <w:shd w:val="clear" w:color="auto" w:fill="CFE2F3"/>
            <w:tcMar>
              <w:top w:w="0" w:type="dxa"/>
              <w:left w:w="100" w:type="dxa"/>
              <w:bottom w:w="0" w:type="dxa"/>
              <w:right w:w="100" w:type="dxa"/>
            </w:tcMar>
          </w:tcPr>
          <w:p w14:paraId="43676EA1" w14:textId="77777777" w:rsidR="007356D6" w:rsidRDefault="00D7602D">
            <w:pPr>
              <w:keepNext/>
              <w:spacing w:before="380" w:after="380"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Case 1:</w:t>
            </w:r>
          </w:p>
        </w:tc>
        <w:tc>
          <w:tcPr>
            <w:tcW w:w="7605" w:type="dxa"/>
            <w:tcBorders>
              <w:top w:val="single" w:sz="5" w:space="0" w:color="000000"/>
              <w:left w:val="nil"/>
              <w:bottom w:val="single" w:sz="5" w:space="0" w:color="000000"/>
              <w:right w:val="single" w:sz="5" w:space="0" w:color="000000"/>
            </w:tcBorders>
            <w:shd w:val="clear" w:color="auto" w:fill="CFE2F3"/>
            <w:tcMar>
              <w:top w:w="0" w:type="dxa"/>
              <w:left w:w="100" w:type="dxa"/>
              <w:bottom w:w="0" w:type="dxa"/>
              <w:right w:w="100" w:type="dxa"/>
            </w:tcMar>
          </w:tcPr>
          <w:p w14:paraId="720BF858" w14:textId="77777777" w:rsidR="007356D6" w:rsidRDefault="00D7602D">
            <w:pPr>
              <w:keepNext/>
              <w:spacing w:line="240" w:lineRule="auto"/>
              <w:ind w:left="2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of Community Networks (SCN) – Indonesia</w:t>
            </w:r>
            <w:r>
              <w:rPr>
                <w:rFonts w:ascii="Times New Roman" w:eastAsia="Times New Roman" w:hAnsi="Times New Roman" w:cs="Times New Roman"/>
                <w:b/>
                <w:sz w:val="24"/>
                <w:szCs w:val="24"/>
              </w:rPr>
              <w:br/>
              <w:t xml:space="preserve"> Common Room Networks Foundation</w:t>
            </w:r>
          </w:p>
        </w:tc>
      </w:tr>
      <w:tr w:rsidR="007356D6" w14:paraId="0F1B77B0" w14:textId="77777777">
        <w:trPr>
          <w:trHeight w:val="6935"/>
        </w:trPr>
        <w:tc>
          <w:tcPr>
            <w:tcW w:w="219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BBC8534" w14:textId="77777777" w:rsidR="007356D6" w:rsidRDefault="00D7602D">
            <w:pPr>
              <w:ind w:left="2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605" w:type="dxa"/>
            <w:tcBorders>
              <w:top w:val="nil"/>
              <w:left w:val="nil"/>
              <w:bottom w:val="single" w:sz="5" w:space="0" w:color="000000"/>
              <w:right w:val="single" w:sz="5" w:space="0" w:color="000000"/>
            </w:tcBorders>
            <w:tcMar>
              <w:top w:w="0" w:type="dxa"/>
              <w:left w:w="0" w:type="dxa"/>
              <w:bottom w:w="0" w:type="dxa"/>
              <w:right w:w="0" w:type="dxa"/>
            </w:tcMar>
          </w:tcPr>
          <w:p w14:paraId="4A4EF2CF" w14:textId="77777777" w:rsidR="007356D6" w:rsidRDefault="00D7602D">
            <w:pPr>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Nationwide project in rural and remote places in Indonesia with piloting locations below:</w:t>
            </w:r>
          </w:p>
          <w:p w14:paraId="51C5BDA6" w14:textId="77777777" w:rsidR="007356D6" w:rsidRDefault="00D7602D">
            <w:pPr>
              <w:ind w:left="8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Ciptagelar indigenous village, Sukabumi Regency, West Java Province (Ongoing, 2019 - present);</w:t>
            </w:r>
          </w:p>
          <w:p w14:paraId="2A0969F7" w14:textId="77777777" w:rsidR="007356D6" w:rsidRDefault="00D7602D">
            <w:pPr>
              <w:ind w:left="860" w:right="9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Ciracap Sub-district, Sukabumi Regency, West Java Province (Ongoing, 2020 - present);</w:t>
            </w:r>
          </w:p>
          <w:p w14:paraId="4632E858" w14:textId="77777777" w:rsidR="007356D6" w:rsidRDefault="00D7602D">
            <w:pPr>
              <w:ind w:left="860" w:right="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Pulo Aceh, Aceh Besar Regency, Aceh Province (Ongoing, 2021 - present);</w:t>
            </w:r>
          </w:p>
          <w:p w14:paraId="2A0859FA" w14:textId="77777777" w:rsidR="007356D6" w:rsidRDefault="00D7602D">
            <w:pPr>
              <w:ind w:left="86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Ketemenggungan Tae, Sanggau Regency, West Kalimantan Province (Ongoing, 2021 - present);</w:t>
            </w:r>
          </w:p>
          <w:p w14:paraId="1D7095C7" w14:textId="77777777" w:rsidR="007356D6" w:rsidRDefault="00D7602D">
            <w:pPr>
              <w:ind w:left="860" w:righ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Mata Redi village, Central Sumba Regency, East Nusa Tenggara Province (Ongoing, 2021 - present);</w:t>
            </w:r>
          </w:p>
          <w:p w14:paraId="032EB17D" w14:textId="77777777" w:rsidR="007356D6" w:rsidRDefault="00D7602D">
            <w:pPr>
              <w:ind w:left="860"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Tembok Village, Buleleng Regency, Bali Province (Ongoing, 2021 - present);</w:t>
            </w:r>
          </w:p>
          <w:p w14:paraId="315BB2BF" w14:textId="77777777" w:rsidR="007356D6" w:rsidRDefault="00D7602D">
            <w:pPr>
              <w:ind w:left="860" w:righ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Sukadana Village, North Lombok Regency, West Nusa Tenggara Prov</w:t>
            </w:r>
            <w:r>
              <w:rPr>
                <w:rFonts w:ascii="Times New Roman" w:eastAsia="Times New Roman" w:hAnsi="Times New Roman" w:cs="Times New Roman"/>
                <w:sz w:val="20"/>
                <w:szCs w:val="20"/>
              </w:rPr>
              <w:t>ince (Ongoing, 2021 - present);</w:t>
            </w:r>
          </w:p>
          <w:p w14:paraId="25E514EB" w14:textId="77777777" w:rsidR="007356D6" w:rsidRDefault="00D7602D">
            <w:pPr>
              <w:ind w:left="860" w:right="7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Hitu Messing village, Central Maluku Regency, Maluku Province (Discontinued, 2021 - 2022);</w:t>
            </w:r>
          </w:p>
          <w:p w14:paraId="60604972" w14:textId="77777777" w:rsidR="007356D6" w:rsidRDefault="00D7602D">
            <w:pPr>
              <w:ind w:left="860" w:right="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Lapeo Village, Polewali Mandar, West Sulawesi Province (Discontinued, 2021 - 2023);</w:t>
            </w:r>
          </w:p>
          <w:p w14:paraId="68EE7E97" w14:textId="77777777" w:rsidR="007356D6" w:rsidRDefault="00D7602D">
            <w:pPr>
              <w:ind w:left="860" w:right="7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Nimboran District, Jayapura Reg</w:t>
            </w:r>
            <w:r>
              <w:rPr>
                <w:rFonts w:ascii="Times New Roman" w:eastAsia="Times New Roman" w:hAnsi="Times New Roman" w:cs="Times New Roman"/>
                <w:sz w:val="20"/>
                <w:szCs w:val="20"/>
              </w:rPr>
              <w:t>ency, Papua Province (Discontinued, 2021 - 2023);</w:t>
            </w:r>
          </w:p>
          <w:p w14:paraId="207B6171" w14:textId="77777777" w:rsidR="007356D6" w:rsidRDefault="00D7602D">
            <w:pPr>
              <w:ind w:left="860" w:right="7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Bobong Village, Taliabu Island Regency, North Maluku Province (Ongoing, 2022 - present);</w:t>
            </w:r>
          </w:p>
          <w:p w14:paraId="3855E5D2" w14:textId="77777777" w:rsidR="007356D6" w:rsidRDefault="00D7602D">
            <w:pPr>
              <w:ind w:left="860" w:right="4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Don Bosco Training Center, Southwest Sumba Regency, East Nusa Tenggara Province (Ongoing, 2023 - present);</w:t>
            </w:r>
          </w:p>
          <w:p w14:paraId="525E84DA" w14:textId="77777777" w:rsidR="007356D6" w:rsidRDefault="00D7602D">
            <w:pPr>
              <w:ind w:left="860" w:right="9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Ngata Toro indigenous village, Sigi Regency, Central Sulawesi Province (Ongoing, 2023 - present).</w:t>
            </w:r>
          </w:p>
        </w:tc>
      </w:tr>
      <w:tr w:rsidR="007356D6" w14:paraId="09C59968" w14:textId="77777777">
        <w:trPr>
          <w:trHeight w:val="2160"/>
        </w:trPr>
        <w:tc>
          <w:tcPr>
            <w:tcW w:w="219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2BCB6245" w14:textId="77777777" w:rsidR="007356D6" w:rsidRDefault="00D7602D">
            <w:pPr>
              <w:ind w:left="2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Frame</w:t>
            </w:r>
          </w:p>
        </w:tc>
        <w:tc>
          <w:tcPr>
            <w:tcW w:w="7605" w:type="dxa"/>
            <w:tcBorders>
              <w:top w:val="nil"/>
              <w:left w:val="nil"/>
              <w:bottom w:val="single" w:sz="5" w:space="0" w:color="000000"/>
              <w:right w:val="single" w:sz="5" w:space="0" w:color="000000"/>
            </w:tcBorders>
            <w:tcMar>
              <w:top w:w="0" w:type="dxa"/>
              <w:left w:w="0" w:type="dxa"/>
              <w:bottom w:w="0" w:type="dxa"/>
              <w:right w:w="0" w:type="dxa"/>
            </w:tcMar>
          </w:tcPr>
          <w:p w14:paraId="3485C7E9" w14:textId="77777777" w:rsidR="007356D6" w:rsidRDefault="00D7602D">
            <w:pPr>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First Phase (2019 - 2024)</w:t>
            </w:r>
          </w:p>
          <w:p w14:paraId="0B52FD21" w14:textId="77777777" w:rsidR="007356D6" w:rsidRDefault="00D7602D">
            <w:pPr>
              <w:spacing w:before="240" w:after="240"/>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School of Community Networks (SCN) training and capacity building program in Indonesia was officially launched i</w:t>
            </w:r>
            <w:r>
              <w:rPr>
                <w:rFonts w:ascii="Times New Roman" w:eastAsia="Times New Roman" w:hAnsi="Times New Roman" w:cs="Times New Roman"/>
                <w:sz w:val="20"/>
                <w:szCs w:val="20"/>
              </w:rPr>
              <w:t xml:space="preserve">n 2021 along with the development of community-centered internet infrastructure prototype in Ciptagelar indigenous village in 2019 and SCN training program preparation in 2020. Currently the SCN training and capacity building program in Indonesia is still </w:t>
            </w:r>
            <w:r>
              <w:rPr>
                <w:rFonts w:ascii="Times New Roman" w:eastAsia="Times New Roman" w:hAnsi="Times New Roman" w:cs="Times New Roman"/>
                <w:sz w:val="20"/>
                <w:szCs w:val="20"/>
              </w:rPr>
              <w:t>ongoing and expanded to other rural areas and remote places in Indonesia.</w:t>
            </w:r>
          </w:p>
        </w:tc>
      </w:tr>
      <w:tr w:rsidR="007356D6" w14:paraId="3FF0B99A" w14:textId="77777777">
        <w:trPr>
          <w:trHeight w:val="1625"/>
        </w:trPr>
        <w:tc>
          <w:tcPr>
            <w:tcW w:w="219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C9AEA04" w14:textId="77777777" w:rsidR="007356D6" w:rsidRDefault="00D7602D">
            <w:pPr>
              <w:spacing w:before="20"/>
              <w:ind w:left="2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605" w:type="dxa"/>
            <w:tcBorders>
              <w:top w:val="nil"/>
              <w:left w:val="nil"/>
              <w:bottom w:val="single" w:sz="5" w:space="0" w:color="000000"/>
              <w:right w:val="single" w:sz="5" w:space="0" w:color="000000"/>
            </w:tcBorders>
            <w:tcMar>
              <w:top w:w="0" w:type="dxa"/>
              <w:left w:w="0" w:type="dxa"/>
              <w:bottom w:w="0" w:type="dxa"/>
              <w:right w:w="0" w:type="dxa"/>
            </w:tcMar>
          </w:tcPr>
          <w:p w14:paraId="5E10A758" w14:textId="77777777" w:rsidR="007356D6" w:rsidRDefault="00D7602D">
            <w:pPr>
              <w:spacing w:before="20"/>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program was developed with support and assistance from the Association for Progressive Communications (APC), as well as funding support from The Swedish International Development Cooperation Agency (SIDA), MEDCO Foundation, ASEAN Foundation, The Foreig</w:t>
            </w:r>
            <w:r>
              <w:rPr>
                <w:rFonts w:ascii="Times New Roman" w:eastAsia="Times New Roman" w:hAnsi="Times New Roman" w:cs="Times New Roman"/>
                <w:sz w:val="20"/>
                <w:szCs w:val="20"/>
              </w:rPr>
              <w:t>n, Commonwealth and Development Office (FCDO), the Information Society Innovation Fund (ISIF Asia), and Deutsche Gesellschaft für Internationale Zusammenarbeit GmbH (GIZ).</w:t>
            </w:r>
          </w:p>
        </w:tc>
      </w:tr>
    </w:tbl>
    <w:p w14:paraId="110D3299" w14:textId="77777777" w:rsidR="007356D6" w:rsidRDefault="007356D6">
      <w:pPr>
        <w:spacing w:after="240"/>
        <w:jc w:val="both"/>
        <w:rPr>
          <w:rFonts w:ascii="Times New Roman" w:eastAsia="Times New Roman" w:hAnsi="Times New Roman" w:cs="Times New Roman"/>
          <w:sz w:val="28"/>
          <w:szCs w:val="28"/>
        </w:rPr>
      </w:pPr>
    </w:p>
    <w:tbl>
      <w:tblPr>
        <w:tblStyle w:val="af4"/>
        <w:tblW w:w="9664" w:type="dxa"/>
        <w:tblBorders>
          <w:top w:val="nil"/>
          <w:left w:val="nil"/>
          <w:bottom w:val="nil"/>
          <w:right w:val="nil"/>
          <w:insideH w:val="nil"/>
          <w:insideV w:val="nil"/>
        </w:tblBorders>
        <w:tblLayout w:type="fixed"/>
        <w:tblLook w:val="0600" w:firstRow="0" w:lastRow="0" w:firstColumn="0" w:lastColumn="0" w:noHBand="1" w:noVBand="1"/>
      </w:tblPr>
      <w:tblGrid>
        <w:gridCol w:w="1995"/>
        <w:gridCol w:w="7669"/>
      </w:tblGrid>
      <w:tr w:rsidR="007356D6" w14:paraId="613E16A7" w14:textId="77777777">
        <w:trPr>
          <w:trHeight w:val="2730"/>
        </w:trPr>
        <w:tc>
          <w:tcPr>
            <w:tcW w:w="199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25ACF67" w14:textId="77777777" w:rsidR="007356D6" w:rsidRDefault="00D7602D">
            <w:pPr>
              <w:spacing w:before="240" w:after="240"/>
              <w:ind w:left="2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669"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0D3889F" w14:textId="77777777" w:rsidR="007356D6" w:rsidRDefault="00D7602D">
            <w:pPr>
              <w:ind w:left="220" w:right="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Association for Progressive Communication (APC) was in partnership with Rhizomatica to collaborate with Common Room and initiate Connecting The Unconnected: Supporting Community-led Approaches to Addressing the Digital Divide Indonesia (LocNet Project)</w:t>
            </w:r>
            <w:r>
              <w:rPr>
                <w:rFonts w:ascii="Times New Roman" w:eastAsia="Times New Roman" w:hAnsi="Times New Roman" w:cs="Times New Roman"/>
                <w:sz w:val="20"/>
                <w:szCs w:val="20"/>
              </w:rPr>
              <w:t xml:space="preserve"> in 2019. Subsequently, the initiative became integrated into the Digital Access Programme (DAP), led</w:t>
            </w:r>
          </w:p>
          <w:p w14:paraId="3E2D0C4F" w14:textId="77777777" w:rsidR="007356D6" w:rsidRDefault="00D7602D">
            <w:pPr>
              <w:spacing w:before="240" w:after="240"/>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the Foreign, Commonwealth and Development Office (FCDO) in 2020. Later on, SCN training and capacity-building programs were also developed in collabora</w:t>
            </w:r>
            <w:r>
              <w:rPr>
                <w:rFonts w:ascii="Times New Roman" w:eastAsia="Times New Roman" w:hAnsi="Times New Roman" w:cs="Times New Roman"/>
                <w:sz w:val="20"/>
                <w:szCs w:val="20"/>
              </w:rPr>
              <w:t>tion with ISIF Asia by the end of 2021.</w:t>
            </w:r>
          </w:p>
        </w:tc>
      </w:tr>
      <w:tr w:rsidR="007356D6" w14:paraId="6E29FB58" w14:textId="77777777">
        <w:trPr>
          <w:trHeight w:val="7340"/>
        </w:trPr>
        <w:tc>
          <w:tcPr>
            <w:tcW w:w="199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25F7EA59" w14:textId="77777777" w:rsidR="007356D6" w:rsidRDefault="00D7602D">
            <w:pPr>
              <w:spacing w:before="20"/>
              <w:ind w:left="2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669" w:type="dxa"/>
            <w:tcBorders>
              <w:top w:val="nil"/>
              <w:left w:val="nil"/>
              <w:bottom w:val="single" w:sz="5" w:space="0" w:color="000000"/>
              <w:right w:val="single" w:sz="5" w:space="0" w:color="000000"/>
            </w:tcBorders>
            <w:tcMar>
              <w:top w:w="0" w:type="dxa"/>
              <w:left w:w="0" w:type="dxa"/>
              <w:bottom w:w="0" w:type="dxa"/>
              <w:right w:w="0" w:type="dxa"/>
            </w:tcMar>
          </w:tcPr>
          <w:p w14:paraId="32E61E77" w14:textId="77777777" w:rsidR="007356D6" w:rsidRDefault="00D7602D">
            <w:pPr>
              <w:spacing w:before="20"/>
              <w:ind w:left="2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Since the COVID-19 pandemic outbreak, internet connectivity has become an important tool to support daily communication, including for carrying out public administration, health services, educat</w:t>
            </w:r>
            <w:r>
              <w:rPr>
                <w:rFonts w:ascii="Times New Roman" w:eastAsia="Times New Roman" w:hAnsi="Times New Roman" w:cs="Times New Roman"/>
                <w:sz w:val="20"/>
                <w:szCs w:val="20"/>
              </w:rPr>
              <w:t xml:space="preserve">ion, economic activities, etc. Although in recent years there has been a significant growth in internet penetration in various regions in Indonesia, currently the digital divide challenges still exists among the general public, particularly in rural areas </w:t>
            </w:r>
            <w:r>
              <w:rPr>
                <w:rFonts w:ascii="Times New Roman" w:eastAsia="Times New Roman" w:hAnsi="Times New Roman" w:cs="Times New Roman"/>
                <w:sz w:val="20"/>
                <w:szCs w:val="20"/>
              </w:rPr>
              <w:t>&amp; remote places.</w:t>
            </w:r>
          </w:p>
          <w:p w14:paraId="412B95AB" w14:textId="77777777" w:rsidR="007356D6" w:rsidRDefault="00D7602D">
            <w:pPr>
              <w:spacing w:before="120"/>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Digital divide challenges in Indonesia are mainly faced with a number of issues, ranging from vast and diverse geographical conditions, insufficient supply of electricity sources, inadequate basic infrastructure, as well as significant disparities in bandw</w:t>
            </w:r>
            <w:r>
              <w:rPr>
                <w:rFonts w:ascii="Times New Roman" w:eastAsia="Times New Roman" w:hAnsi="Times New Roman" w:cs="Times New Roman"/>
                <w:sz w:val="20"/>
                <w:szCs w:val="20"/>
              </w:rPr>
              <w:t>idth costs (both within and outside Java Island). This also includes unavailability of suitable and affordable devices, the inability to generate local content and knowledge, including the gender gaps and limited funding resources available to expand the i</w:t>
            </w:r>
            <w:r>
              <w:rPr>
                <w:rFonts w:ascii="Times New Roman" w:eastAsia="Times New Roman" w:hAnsi="Times New Roman" w:cs="Times New Roman"/>
                <w:sz w:val="20"/>
                <w:szCs w:val="20"/>
              </w:rPr>
              <w:t>nternet outreach.</w:t>
            </w:r>
          </w:p>
          <w:p w14:paraId="4019A42D" w14:textId="77777777" w:rsidR="007356D6" w:rsidRDefault="00D7602D">
            <w:pPr>
              <w:spacing w:before="120"/>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According to the survey made by the Indonesian Internet Service Providers Association (APJII) in 2019, the number of internet users in Indonesia has reached 196.71 million from a total population of</w:t>
            </w:r>
          </w:p>
          <w:p w14:paraId="32BC3122" w14:textId="77777777" w:rsidR="007356D6" w:rsidRDefault="00D7602D">
            <w:pPr>
              <w:ind w:left="22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266.91 people (73.7%).</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The increase of</w:t>
            </w:r>
            <w:r>
              <w:rPr>
                <w:rFonts w:ascii="Times New Roman" w:eastAsia="Times New Roman" w:hAnsi="Times New Roman" w:cs="Times New Roman"/>
                <w:sz w:val="20"/>
                <w:szCs w:val="20"/>
              </w:rPr>
              <w:t xml:space="preserve"> internet users in Indonesia is predicted to continue to develop after the Palapa Ring network project is completed in 2019. Subsequently, the growth of internet users in Indonesia is also surge by the increasing need for internet access as one of the impa</w:t>
            </w:r>
            <w:r>
              <w:rPr>
                <w:rFonts w:ascii="Times New Roman" w:eastAsia="Times New Roman" w:hAnsi="Times New Roman" w:cs="Times New Roman"/>
                <w:sz w:val="20"/>
                <w:szCs w:val="20"/>
              </w:rPr>
              <w:t>cts of the COVID-19 pandemic outbreak on a global scale.</w:t>
            </w:r>
          </w:p>
          <w:p w14:paraId="78B5B692" w14:textId="77777777" w:rsidR="007356D6" w:rsidRDefault="00D7602D">
            <w:pPr>
              <w:spacing w:before="100" w:line="294" w:lineRule="auto"/>
              <w:ind w:left="22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2024, one in five Indonesians are still not connected to the internet. Data from the Indonesian Internet Service Providers Association (APJII) shows that the number of Indonesians connected to the</w:t>
            </w:r>
            <w:r>
              <w:rPr>
                <w:rFonts w:ascii="Times New Roman" w:eastAsia="Times New Roman" w:hAnsi="Times New Roman" w:cs="Times New Roman"/>
                <w:sz w:val="20"/>
                <w:szCs w:val="20"/>
              </w:rPr>
              <w:t xml:space="preserve"> internet in 2024 reached 221,563,479 out of a total population of 278,696,200 (79.50%).</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As the follow-up to this survey, it is estimated that 82.6% of the population in underdeveloped areas with total numbers around 8,114,273 users out of a total of 9,82</w:t>
            </w:r>
            <w:r>
              <w:rPr>
                <w:rFonts w:ascii="Times New Roman" w:eastAsia="Times New Roman" w:hAnsi="Times New Roman" w:cs="Times New Roman"/>
                <w:sz w:val="20"/>
                <w:szCs w:val="20"/>
              </w:rPr>
              <w:t>3,575 people already have internet access in</w:t>
            </w:r>
          </w:p>
        </w:tc>
      </w:tr>
    </w:tbl>
    <w:p w14:paraId="5B9C45FE" w14:textId="77777777" w:rsidR="007356D6" w:rsidRDefault="00D7602D">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5361830" w14:textId="77777777" w:rsidR="007356D6" w:rsidRDefault="00D7602D">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74AA707" w14:textId="77777777" w:rsidR="007356D6" w:rsidRDefault="00D7602D">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Style w:val="af5"/>
        <w:tblW w:w="5200" w:type="dxa"/>
        <w:tblBorders>
          <w:top w:val="nil"/>
          <w:left w:val="nil"/>
          <w:bottom w:val="nil"/>
          <w:right w:val="nil"/>
          <w:insideH w:val="nil"/>
          <w:insideV w:val="nil"/>
        </w:tblBorders>
        <w:tblLayout w:type="fixed"/>
        <w:tblLook w:val="0600" w:firstRow="0" w:lastRow="0" w:firstColumn="0" w:lastColumn="0" w:noHBand="1" w:noVBand="1"/>
      </w:tblPr>
      <w:tblGrid>
        <w:gridCol w:w="2090"/>
        <w:gridCol w:w="3110"/>
      </w:tblGrid>
      <w:tr w:rsidR="007356D6" w14:paraId="5F55678B" w14:textId="77777777">
        <w:trPr>
          <w:trHeight w:val="200"/>
        </w:trPr>
        <w:tc>
          <w:tcPr>
            <w:tcW w:w="2090" w:type="dxa"/>
            <w:tcBorders>
              <w:top w:val="nil"/>
              <w:left w:val="nil"/>
              <w:bottom w:val="nil"/>
              <w:right w:val="nil"/>
            </w:tcBorders>
            <w:tcMar>
              <w:top w:w="100" w:type="dxa"/>
              <w:left w:w="100" w:type="dxa"/>
              <w:bottom w:w="100" w:type="dxa"/>
              <w:right w:w="100" w:type="dxa"/>
            </w:tcMar>
          </w:tcPr>
          <w:p w14:paraId="65F69D38" w14:textId="77777777" w:rsidR="007356D6" w:rsidRDefault="007356D6">
            <w:pPr>
              <w:spacing w:after="240"/>
              <w:rPr>
                <w:rFonts w:ascii="Times New Roman" w:eastAsia="Times New Roman" w:hAnsi="Times New Roman" w:cs="Times New Roman"/>
                <w:sz w:val="28"/>
                <w:szCs w:val="28"/>
              </w:rPr>
            </w:pPr>
          </w:p>
        </w:tc>
        <w:tc>
          <w:tcPr>
            <w:tcW w:w="3110" w:type="dxa"/>
            <w:shd w:val="clear" w:color="auto" w:fill="auto"/>
            <w:tcMar>
              <w:top w:w="100" w:type="dxa"/>
              <w:left w:w="100" w:type="dxa"/>
              <w:bottom w:w="100" w:type="dxa"/>
              <w:right w:w="100" w:type="dxa"/>
            </w:tcMar>
          </w:tcPr>
          <w:p w14:paraId="40FA59D7" w14:textId="77777777" w:rsidR="007356D6" w:rsidRDefault="007356D6">
            <w:pPr>
              <w:spacing w:after="240"/>
              <w:rPr>
                <w:rFonts w:ascii="Times New Roman" w:eastAsia="Times New Roman" w:hAnsi="Times New Roman" w:cs="Times New Roman"/>
                <w:sz w:val="28"/>
                <w:szCs w:val="28"/>
              </w:rPr>
            </w:pPr>
          </w:p>
        </w:tc>
      </w:tr>
      <w:tr w:rsidR="007356D6" w14:paraId="371DCFF3" w14:textId="77777777">
        <w:trPr>
          <w:trHeight w:val="230"/>
        </w:trPr>
        <w:tc>
          <w:tcPr>
            <w:tcW w:w="2090" w:type="dxa"/>
            <w:tcBorders>
              <w:top w:val="nil"/>
              <w:left w:val="nil"/>
              <w:bottom w:val="nil"/>
              <w:right w:val="nil"/>
            </w:tcBorders>
            <w:tcMar>
              <w:top w:w="100" w:type="dxa"/>
              <w:left w:w="100" w:type="dxa"/>
              <w:bottom w:w="100" w:type="dxa"/>
              <w:right w:w="100" w:type="dxa"/>
            </w:tcMar>
          </w:tcPr>
          <w:p w14:paraId="6A72228D" w14:textId="77777777" w:rsidR="007356D6" w:rsidRDefault="007356D6">
            <w:pPr>
              <w:spacing w:after="240"/>
              <w:rPr>
                <w:rFonts w:ascii="Times New Roman" w:eastAsia="Times New Roman" w:hAnsi="Times New Roman" w:cs="Times New Roman"/>
                <w:sz w:val="28"/>
                <w:szCs w:val="28"/>
              </w:rPr>
            </w:pPr>
          </w:p>
        </w:tc>
        <w:tc>
          <w:tcPr>
            <w:tcW w:w="3110" w:type="dxa"/>
            <w:tcBorders>
              <w:top w:val="nil"/>
              <w:left w:val="nil"/>
              <w:bottom w:val="nil"/>
              <w:right w:val="nil"/>
            </w:tcBorders>
            <w:tcMar>
              <w:top w:w="100" w:type="dxa"/>
              <w:left w:w="100" w:type="dxa"/>
              <w:bottom w:w="100" w:type="dxa"/>
              <w:right w:w="100" w:type="dxa"/>
            </w:tcMar>
          </w:tcPr>
          <w:p w14:paraId="37A45A02" w14:textId="77777777" w:rsidR="007356D6" w:rsidRDefault="007356D6">
            <w:pPr>
              <w:spacing w:after="240"/>
              <w:rPr>
                <w:rFonts w:ascii="Times New Roman" w:eastAsia="Times New Roman" w:hAnsi="Times New Roman" w:cs="Times New Roman"/>
                <w:sz w:val="28"/>
                <w:szCs w:val="28"/>
              </w:rPr>
            </w:pPr>
          </w:p>
        </w:tc>
      </w:tr>
    </w:tbl>
    <w:p w14:paraId="0DBF7339" w14:textId="77777777" w:rsidR="007356D6" w:rsidRDefault="007356D6">
      <w:pPr>
        <w:spacing w:before="120" w:after="240"/>
        <w:jc w:val="both"/>
        <w:rPr>
          <w:rFonts w:ascii="Times New Roman" w:eastAsia="Times New Roman" w:hAnsi="Times New Roman" w:cs="Times New Roman"/>
          <w:sz w:val="28"/>
          <w:szCs w:val="28"/>
        </w:rPr>
      </w:pPr>
    </w:p>
    <w:tbl>
      <w:tblPr>
        <w:tblStyle w:val="af6"/>
        <w:tblW w:w="9345" w:type="dxa"/>
        <w:tblBorders>
          <w:top w:val="nil"/>
          <w:left w:val="nil"/>
          <w:bottom w:val="nil"/>
          <w:right w:val="nil"/>
          <w:insideH w:val="nil"/>
          <w:insideV w:val="nil"/>
        </w:tblBorders>
        <w:tblLayout w:type="fixed"/>
        <w:tblLook w:val="0600" w:firstRow="0" w:lastRow="0" w:firstColumn="0" w:lastColumn="0" w:noHBand="1" w:noVBand="1"/>
      </w:tblPr>
      <w:tblGrid>
        <w:gridCol w:w="1995"/>
        <w:gridCol w:w="7350"/>
      </w:tblGrid>
      <w:tr w:rsidR="007356D6" w14:paraId="6D79C59A" w14:textId="77777777">
        <w:trPr>
          <w:trHeight w:val="4545"/>
        </w:trPr>
        <w:tc>
          <w:tcPr>
            <w:tcW w:w="199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4B4124D" w14:textId="77777777" w:rsidR="007356D6" w:rsidRDefault="00D7602D">
            <w:pPr>
              <w:spacing w:before="240" w:after="240"/>
              <w:ind w:lef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735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B2EB71E" w14:textId="77777777" w:rsidR="007356D6" w:rsidRDefault="00D7602D">
            <w:pPr>
              <w:spacing w:before="240" w:after="240" w:line="295" w:lineRule="auto"/>
              <w:ind w:left="220"/>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2024.</w:t>
            </w:r>
            <w:r>
              <w:rPr>
                <w:rFonts w:ascii="Times New Roman" w:eastAsia="Times New Roman" w:hAnsi="Times New Roman" w:cs="Times New Roman"/>
                <w:sz w:val="20"/>
                <w:szCs w:val="20"/>
                <w:vertAlign w:val="superscript"/>
              </w:rPr>
              <w:t>3</w:t>
            </w:r>
          </w:p>
          <w:p w14:paraId="1A33B4A5" w14:textId="77777777" w:rsidR="007356D6" w:rsidRDefault="00D7602D">
            <w:pPr>
              <w:spacing w:before="240"/>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Despite of increasing number of internet penetration in Indonesia in the past years, digital divide challenges in rural and remote places, as well as among underserved communities in within the region still persist, with the following gaps and disparities:</w:t>
            </w:r>
          </w:p>
          <w:p w14:paraId="4CA5E100" w14:textId="77777777" w:rsidR="007356D6" w:rsidRDefault="00D7602D">
            <w:pPr>
              <w:spacing w:before="240" w:after="240"/>
              <w:ind w:left="8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Infrastructure and digital connectivity gaps;</w:t>
            </w:r>
          </w:p>
          <w:p w14:paraId="12B5ACA5" w14:textId="77777777" w:rsidR="007356D6" w:rsidRDefault="00D7602D">
            <w:pPr>
              <w:spacing w:before="240" w:after="240"/>
              <w:ind w:left="8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Skills and digital literacy gaps;</w:t>
            </w:r>
          </w:p>
          <w:p w14:paraId="5EAD0224" w14:textId="77777777" w:rsidR="007356D6" w:rsidRDefault="00D7602D">
            <w:pPr>
              <w:spacing w:before="240" w:after="240"/>
              <w:ind w:left="8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Internet security and personal data protection issues;</w:t>
            </w:r>
          </w:p>
          <w:p w14:paraId="2E3814DE" w14:textId="77777777" w:rsidR="007356D6" w:rsidRDefault="00D7602D">
            <w:pPr>
              <w:spacing w:before="240" w:after="240"/>
              <w:ind w:left="8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Adaptive digital access policies and regulations;</w:t>
            </w:r>
          </w:p>
          <w:p w14:paraId="388550CE" w14:textId="77777777" w:rsidR="007356D6" w:rsidRDefault="00D7602D">
            <w:pPr>
              <w:ind w:left="8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Inclu</w:t>
            </w:r>
            <w:r>
              <w:rPr>
                <w:rFonts w:ascii="Times New Roman" w:eastAsia="Times New Roman" w:hAnsi="Times New Roman" w:cs="Times New Roman"/>
                <w:sz w:val="20"/>
                <w:szCs w:val="20"/>
              </w:rPr>
              <w:t>sive digital connectivity (Gender Inclusion, Disability and Social Inclusion - GEDSI).</w:t>
            </w:r>
          </w:p>
        </w:tc>
      </w:tr>
      <w:tr w:rsidR="007356D6" w14:paraId="0AEBA85E" w14:textId="77777777">
        <w:trPr>
          <w:trHeight w:val="9919"/>
        </w:trPr>
        <w:tc>
          <w:tcPr>
            <w:tcW w:w="199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39E8BD2" w14:textId="77777777" w:rsidR="007356D6" w:rsidRDefault="00D7602D">
            <w:pPr>
              <w:ind w:left="2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Which were the actions taken to address the problem(s)?</w:t>
            </w:r>
          </w:p>
        </w:tc>
        <w:tc>
          <w:tcPr>
            <w:tcW w:w="7350" w:type="dxa"/>
            <w:tcBorders>
              <w:top w:val="nil"/>
              <w:left w:val="nil"/>
              <w:bottom w:val="single" w:sz="5" w:space="0" w:color="000000"/>
              <w:right w:val="single" w:sz="5" w:space="0" w:color="000000"/>
            </w:tcBorders>
            <w:tcMar>
              <w:top w:w="0" w:type="dxa"/>
              <w:left w:w="0" w:type="dxa"/>
              <w:bottom w:w="0" w:type="dxa"/>
              <w:right w:w="0" w:type="dxa"/>
            </w:tcMar>
          </w:tcPr>
          <w:p w14:paraId="2466E044" w14:textId="77777777" w:rsidR="007356D6" w:rsidRDefault="00D7602D">
            <w:pPr>
              <w:ind w:left="220" w:right="12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Training and capacity building program through the School of Community Networks (SCN) in some rural and remote places in Indonesia. The training and capacity building program was developed with a user centered approach, started with participatory rural app</w:t>
            </w:r>
            <w:r>
              <w:rPr>
                <w:rFonts w:ascii="Times New Roman" w:eastAsia="Times New Roman" w:hAnsi="Times New Roman" w:cs="Times New Roman"/>
                <w:sz w:val="20"/>
                <w:szCs w:val="20"/>
              </w:rPr>
              <w:t>raisal (PRA) method to conduct needs assessment and define the targeted beneficiary group. Apart from training and capacity building programs, the initiative was also enhanced with research and policy advocacy from rural, regional to national level that in</w:t>
            </w:r>
            <w:r>
              <w:rPr>
                <w:rFonts w:ascii="Times New Roman" w:eastAsia="Times New Roman" w:hAnsi="Times New Roman" w:cs="Times New Roman"/>
                <w:sz w:val="20"/>
                <w:szCs w:val="20"/>
              </w:rPr>
              <w:t>volves multistakeholder approach, ranging from local communities, civil society organizations (CSOs), government, academics, business sector, and technical community. SCN training and capacity building programs also consider 4 core elements, which include:</w:t>
            </w:r>
            <w:r>
              <w:rPr>
                <w:rFonts w:ascii="Times New Roman" w:eastAsia="Times New Roman" w:hAnsi="Times New Roman" w:cs="Times New Roman"/>
                <w:sz w:val="20"/>
                <w:szCs w:val="20"/>
              </w:rPr>
              <w:t xml:space="preserve"> (1) policy and regulatory frameworks, (2) internet safety and security protocols, (3) affordability, and (4) meaningful connectivity. At the technical level, the training and capacity building program was developed with 5L frameworks, which consist of the</w:t>
            </w:r>
            <w:r>
              <w:rPr>
                <w:rFonts w:ascii="Times New Roman" w:eastAsia="Times New Roman" w:hAnsi="Times New Roman" w:cs="Times New Roman"/>
                <w:sz w:val="20"/>
                <w:szCs w:val="20"/>
              </w:rPr>
              <w:t xml:space="preserve"> following key points:</w:t>
            </w:r>
          </w:p>
          <w:p w14:paraId="19B6569D" w14:textId="77777777" w:rsidR="007356D6" w:rsidRDefault="00D7602D">
            <w:pPr>
              <w:spacing w:before="240" w:after="240"/>
              <w:ind w:left="1220" w:right="121"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Low Tech</w:t>
            </w:r>
          </w:p>
          <w:p w14:paraId="03258A93" w14:textId="77777777" w:rsidR="007356D6" w:rsidRDefault="00D7602D">
            <w:pPr>
              <w:spacing w:before="240" w:after="240"/>
              <w:ind w:left="860" w:right="12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technology chosen to build the community-centered internet infrastructure should utilize affordable and accessible technology at the local level.</w:t>
            </w:r>
          </w:p>
          <w:p w14:paraId="5241CC18" w14:textId="77777777" w:rsidR="007356D6" w:rsidRDefault="00D7602D">
            <w:pPr>
              <w:spacing w:before="240" w:after="240"/>
              <w:ind w:left="1220" w:right="121"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Low Energy</w:t>
            </w:r>
          </w:p>
          <w:p w14:paraId="413F9262" w14:textId="77777777" w:rsidR="007356D6" w:rsidRDefault="00D7602D">
            <w:pPr>
              <w:ind w:left="860" w:right="12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Some rural and remote areas in Indonesia have limited power sources. Community-centered internet infrastructure development should consider reliable and sustainable electric sources at the local level.</w:t>
            </w:r>
          </w:p>
          <w:p w14:paraId="3EDF8607" w14:textId="77777777" w:rsidR="007356D6" w:rsidRDefault="00D7602D">
            <w:pPr>
              <w:spacing w:before="240" w:after="240"/>
              <w:ind w:left="1220" w:right="121"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Low Maintenance</w:t>
            </w:r>
          </w:p>
          <w:p w14:paraId="20259EE0" w14:textId="77777777" w:rsidR="007356D6" w:rsidRDefault="00D7602D">
            <w:pPr>
              <w:spacing w:before="240" w:after="240"/>
              <w:ind w:left="860" w:right="12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local communities in rural and </w:t>
            </w:r>
            <w:r>
              <w:rPr>
                <w:rFonts w:ascii="Times New Roman" w:eastAsia="Times New Roman" w:hAnsi="Times New Roman" w:cs="Times New Roman"/>
                <w:sz w:val="20"/>
                <w:szCs w:val="20"/>
              </w:rPr>
              <w:t>remote areas have limitations in technical skill and digital literacy,</w:t>
            </w:r>
          </w:p>
          <w:p w14:paraId="5E4CB32B" w14:textId="77777777" w:rsidR="007356D6" w:rsidRDefault="00D7602D">
            <w:pPr>
              <w:spacing w:before="240" w:after="240"/>
              <w:ind w:left="860" w:right="12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community-centered internet infrastructure should be easy to maintain using locally available resources.</w:t>
            </w:r>
          </w:p>
          <w:p w14:paraId="3F825083" w14:textId="77777777" w:rsidR="007356D6" w:rsidRDefault="00D7602D">
            <w:pPr>
              <w:spacing w:before="240" w:after="240"/>
              <w:ind w:left="1220" w:right="121"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t>Low Learning Curve</w:t>
            </w:r>
          </w:p>
          <w:p w14:paraId="05578DE8" w14:textId="77777777" w:rsidR="007356D6" w:rsidRDefault="00D7602D">
            <w:pPr>
              <w:spacing w:before="240" w:after="240" w:line="294" w:lineRule="auto"/>
              <w:ind w:left="860" w:right="12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SCN training and capacity building aims to increase techn</w:t>
            </w:r>
            <w:r>
              <w:rPr>
                <w:rFonts w:ascii="Times New Roman" w:eastAsia="Times New Roman" w:hAnsi="Times New Roman" w:cs="Times New Roman"/>
                <w:sz w:val="20"/>
                <w:szCs w:val="20"/>
              </w:rPr>
              <w:t>ical skill and digital literacy of local communities in underserved areas. Training modules and curricula should be easy to</w:t>
            </w:r>
          </w:p>
        </w:tc>
      </w:tr>
    </w:tbl>
    <w:p w14:paraId="0DA6E2A3" w14:textId="77777777" w:rsidR="007356D6" w:rsidRDefault="007356D6">
      <w:pPr>
        <w:spacing w:after="240"/>
        <w:jc w:val="both"/>
        <w:rPr>
          <w:rFonts w:ascii="Times New Roman" w:eastAsia="Times New Roman" w:hAnsi="Times New Roman" w:cs="Times New Roman"/>
          <w:sz w:val="28"/>
          <w:szCs w:val="28"/>
        </w:rPr>
      </w:pPr>
    </w:p>
    <w:tbl>
      <w:tblPr>
        <w:tblStyle w:val="af7"/>
        <w:tblW w:w="5200" w:type="dxa"/>
        <w:tblBorders>
          <w:top w:val="nil"/>
          <w:left w:val="nil"/>
          <w:bottom w:val="nil"/>
          <w:right w:val="nil"/>
          <w:insideH w:val="nil"/>
          <w:insideV w:val="nil"/>
        </w:tblBorders>
        <w:tblLayout w:type="fixed"/>
        <w:tblLook w:val="0600" w:firstRow="0" w:lastRow="0" w:firstColumn="0" w:lastColumn="0" w:noHBand="1" w:noVBand="1"/>
      </w:tblPr>
      <w:tblGrid>
        <w:gridCol w:w="2090"/>
        <w:gridCol w:w="3110"/>
      </w:tblGrid>
      <w:tr w:rsidR="007356D6" w14:paraId="21BF71C1" w14:textId="77777777">
        <w:trPr>
          <w:trHeight w:val="200"/>
        </w:trPr>
        <w:tc>
          <w:tcPr>
            <w:tcW w:w="2090" w:type="dxa"/>
            <w:tcBorders>
              <w:top w:val="nil"/>
              <w:left w:val="nil"/>
              <w:bottom w:val="nil"/>
              <w:right w:val="nil"/>
            </w:tcBorders>
            <w:tcMar>
              <w:top w:w="100" w:type="dxa"/>
              <w:left w:w="100" w:type="dxa"/>
              <w:bottom w:w="100" w:type="dxa"/>
              <w:right w:w="100" w:type="dxa"/>
            </w:tcMar>
          </w:tcPr>
          <w:p w14:paraId="56513B70" w14:textId="77777777" w:rsidR="007356D6" w:rsidRDefault="007356D6">
            <w:pPr>
              <w:spacing w:after="240"/>
              <w:jc w:val="both"/>
              <w:rPr>
                <w:rFonts w:ascii="Times New Roman" w:eastAsia="Times New Roman" w:hAnsi="Times New Roman" w:cs="Times New Roman"/>
                <w:sz w:val="28"/>
                <w:szCs w:val="28"/>
              </w:rPr>
            </w:pPr>
          </w:p>
        </w:tc>
        <w:tc>
          <w:tcPr>
            <w:tcW w:w="3110" w:type="dxa"/>
            <w:shd w:val="clear" w:color="auto" w:fill="auto"/>
            <w:tcMar>
              <w:top w:w="100" w:type="dxa"/>
              <w:left w:w="100" w:type="dxa"/>
              <w:bottom w:w="100" w:type="dxa"/>
              <w:right w:w="100" w:type="dxa"/>
            </w:tcMar>
          </w:tcPr>
          <w:p w14:paraId="056228AF" w14:textId="77777777" w:rsidR="007356D6" w:rsidRDefault="007356D6">
            <w:pPr>
              <w:spacing w:after="240"/>
              <w:jc w:val="both"/>
              <w:rPr>
                <w:rFonts w:ascii="Times New Roman" w:eastAsia="Times New Roman" w:hAnsi="Times New Roman" w:cs="Times New Roman"/>
                <w:sz w:val="28"/>
                <w:szCs w:val="28"/>
              </w:rPr>
            </w:pPr>
          </w:p>
        </w:tc>
      </w:tr>
      <w:tr w:rsidR="007356D6" w14:paraId="16F5E3EF" w14:textId="77777777">
        <w:trPr>
          <w:trHeight w:val="230"/>
        </w:trPr>
        <w:tc>
          <w:tcPr>
            <w:tcW w:w="2090" w:type="dxa"/>
            <w:tcBorders>
              <w:top w:val="nil"/>
              <w:left w:val="nil"/>
              <w:bottom w:val="nil"/>
              <w:right w:val="nil"/>
            </w:tcBorders>
            <w:tcMar>
              <w:top w:w="100" w:type="dxa"/>
              <w:left w:w="100" w:type="dxa"/>
              <w:bottom w:w="100" w:type="dxa"/>
              <w:right w:w="100" w:type="dxa"/>
            </w:tcMar>
          </w:tcPr>
          <w:p w14:paraId="487BCB16" w14:textId="77777777" w:rsidR="007356D6" w:rsidRDefault="007356D6">
            <w:pPr>
              <w:spacing w:after="240"/>
              <w:jc w:val="both"/>
              <w:rPr>
                <w:rFonts w:ascii="Times New Roman" w:eastAsia="Times New Roman" w:hAnsi="Times New Roman" w:cs="Times New Roman"/>
                <w:sz w:val="28"/>
                <w:szCs w:val="28"/>
              </w:rPr>
            </w:pPr>
          </w:p>
        </w:tc>
        <w:tc>
          <w:tcPr>
            <w:tcW w:w="3110" w:type="dxa"/>
            <w:tcBorders>
              <w:top w:val="nil"/>
              <w:left w:val="nil"/>
              <w:bottom w:val="nil"/>
              <w:right w:val="nil"/>
            </w:tcBorders>
            <w:tcMar>
              <w:top w:w="100" w:type="dxa"/>
              <w:left w:w="100" w:type="dxa"/>
              <w:bottom w:w="100" w:type="dxa"/>
              <w:right w:w="100" w:type="dxa"/>
            </w:tcMar>
          </w:tcPr>
          <w:p w14:paraId="502AD9E4" w14:textId="77777777" w:rsidR="007356D6" w:rsidRDefault="007356D6">
            <w:pPr>
              <w:spacing w:after="240"/>
              <w:jc w:val="both"/>
              <w:rPr>
                <w:rFonts w:ascii="Times New Roman" w:eastAsia="Times New Roman" w:hAnsi="Times New Roman" w:cs="Times New Roman"/>
                <w:sz w:val="28"/>
                <w:szCs w:val="28"/>
              </w:rPr>
            </w:pPr>
          </w:p>
        </w:tc>
      </w:tr>
    </w:tbl>
    <w:p w14:paraId="72361513" w14:textId="77777777" w:rsidR="007356D6" w:rsidRDefault="00D7602D">
      <w:pPr>
        <w:spacing w:before="6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tbl>
      <w:tblPr>
        <w:tblStyle w:val="af8"/>
        <w:tblW w:w="8745" w:type="dxa"/>
        <w:tblBorders>
          <w:top w:val="nil"/>
          <w:left w:val="nil"/>
          <w:bottom w:val="nil"/>
          <w:right w:val="nil"/>
          <w:insideH w:val="nil"/>
          <w:insideV w:val="nil"/>
        </w:tblBorders>
        <w:tblLayout w:type="fixed"/>
        <w:tblLook w:val="0600" w:firstRow="0" w:lastRow="0" w:firstColumn="0" w:lastColumn="0" w:noHBand="1" w:noVBand="1"/>
      </w:tblPr>
      <w:tblGrid>
        <w:gridCol w:w="1980"/>
        <w:gridCol w:w="6765"/>
      </w:tblGrid>
      <w:tr w:rsidR="007356D6" w14:paraId="4A477115" w14:textId="77777777">
        <w:trPr>
          <w:trHeight w:val="4960"/>
        </w:trPr>
        <w:tc>
          <w:tcPr>
            <w:tcW w:w="19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FD35E29" w14:textId="77777777" w:rsidR="007356D6" w:rsidRDefault="00D7602D">
            <w:pPr>
              <w:spacing w:before="240" w:after="240"/>
              <w:ind w:left="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tc>
        <w:tc>
          <w:tcPr>
            <w:tcW w:w="67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ACFFFDF" w14:textId="77777777" w:rsidR="007356D6" w:rsidRDefault="00D7602D">
            <w:pPr>
              <w:spacing w:before="240" w:after="240"/>
              <w:ind w:left="860" w:right="2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 so that all members of the community can learn easily regardless of their technical and gender background.</w:t>
            </w:r>
          </w:p>
          <w:p w14:paraId="6897D198" w14:textId="77777777" w:rsidR="007356D6" w:rsidRDefault="00D7602D">
            <w:pPr>
              <w:spacing w:before="280"/>
              <w:ind w:left="120" w:right="2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350AE47" w14:textId="77777777" w:rsidR="007356D6" w:rsidRDefault="00D7602D">
            <w:pPr>
              <w:ind w:left="500" w:right="2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Local Support</w:t>
            </w:r>
          </w:p>
          <w:p w14:paraId="693AAF82" w14:textId="77777777" w:rsidR="007356D6" w:rsidRDefault="00D7602D">
            <w:pPr>
              <w:ind w:left="860" w:right="2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Community-centered internet infrastructure is putting specific emphasis on the importance of multi stakeholder approach and community engagement. Support from local stakeholders are also essential to develop, maintain, as well as to utilize the internet ac</w:t>
            </w:r>
            <w:r>
              <w:rPr>
                <w:rFonts w:ascii="Times New Roman" w:eastAsia="Times New Roman" w:hAnsi="Times New Roman" w:cs="Times New Roman"/>
                <w:sz w:val="20"/>
                <w:szCs w:val="20"/>
              </w:rPr>
              <w:t>cess and connectivity in rural and remote places.</w:t>
            </w:r>
          </w:p>
          <w:p w14:paraId="0B6C06A4" w14:textId="77777777" w:rsidR="007356D6" w:rsidRDefault="00D7602D">
            <w:pPr>
              <w:spacing w:before="120"/>
              <w:ind w:left="220" w:right="245"/>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The SCN training and capacity building program was also enhanced with Rural ICT Camp, an annual event that was organized since 2020 aimed to support and consolidate ongoing effort to sustain community-cente</w:t>
            </w:r>
            <w:r>
              <w:rPr>
                <w:rFonts w:ascii="Times New Roman" w:eastAsia="Times New Roman" w:hAnsi="Times New Roman" w:cs="Times New Roman"/>
                <w:sz w:val="20"/>
                <w:szCs w:val="20"/>
              </w:rPr>
              <w:t>red internet access and meaningful connectivity in rural areas and remote places. This event was facilitating policy dialogue, a series of workshops on technical skills for community-centered internet infrastructure and digital literacy, as well as arts an</w:t>
            </w:r>
            <w:r>
              <w:rPr>
                <w:rFonts w:ascii="Times New Roman" w:eastAsia="Times New Roman" w:hAnsi="Times New Roman" w:cs="Times New Roman"/>
                <w:sz w:val="20"/>
                <w:szCs w:val="20"/>
              </w:rPr>
              <w:t>d cultural events</w:t>
            </w:r>
            <w:r>
              <w:rPr>
                <w:rFonts w:ascii="Times New Roman" w:eastAsia="Times New Roman" w:hAnsi="Times New Roman" w:cs="Times New Roman"/>
                <w:sz w:val="24"/>
                <w:szCs w:val="24"/>
              </w:rPr>
              <w:t>.</w:t>
            </w:r>
          </w:p>
        </w:tc>
      </w:tr>
      <w:tr w:rsidR="007356D6" w14:paraId="48619F05" w14:textId="77777777">
        <w:trPr>
          <w:trHeight w:val="6900"/>
        </w:trPr>
        <w:tc>
          <w:tcPr>
            <w:tcW w:w="198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1CA129D" w14:textId="77777777" w:rsidR="007356D6" w:rsidRDefault="00D7602D">
            <w:pPr>
              <w:spacing w:before="20"/>
              <w:ind w:left="2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6765" w:type="dxa"/>
            <w:tcBorders>
              <w:top w:val="nil"/>
              <w:left w:val="nil"/>
              <w:bottom w:val="single" w:sz="5" w:space="0" w:color="000000"/>
              <w:right w:val="single" w:sz="5" w:space="0" w:color="000000"/>
            </w:tcBorders>
            <w:tcMar>
              <w:top w:w="0" w:type="dxa"/>
              <w:left w:w="0" w:type="dxa"/>
              <w:bottom w:w="0" w:type="dxa"/>
              <w:right w:w="0" w:type="dxa"/>
            </w:tcMar>
          </w:tcPr>
          <w:p w14:paraId="3038DEAA" w14:textId="77777777" w:rsidR="007356D6" w:rsidRDefault="00D7602D">
            <w:pPr>
              <w:spacing w:before="20"/>
              <w:ind w:left="12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Results:</w:t>
            </w:r>
          </w:p>
          <w:p w14:paraId="10C2DA21" w14:textId="77777777" w:rsidR="007356D6" w:rsidRDefault="00D7602D">
            <w:pPr>
              <w:spacing w:before="240" w:after="240"/>
              <w:ind w:left="1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The School of Community Networks (SCN) training and capacity building program has been developed in around 13 locations in 11 different province</w:t>
            </w:r>
            <w:r>
              <w:rPr>
                <w:rFonts w:ascii="Times New Roman" w:eastAsia="Times New Roman" w:hAnsi="Times New Roman" w:cs="Times New Roman"/>
                <w:sz w:val="20"/>
                <w:szCs w:val="20"/>
              </w:rPr>
              <w:t>s in Indonesia. The program was able to increase technical skill and digital literacy, allowing local communities in some project locations to develop and maintain community-centered internet infrastructure in their respective regions.</w:t>
            </w:r>
          </w:p>
          <w:p w14:paraId="1E36EA93" w14:textId="77777777" w:rsidR="007356D6" w:rsidRDefault="00D7602D">
            <w:pPr>
              <w:spacing w:before="240" w:after="240"/>
              <w:ind w:left="120" w:right="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SCN program also able to develop 12 training module and curricula, ranging from (1) COVID-19 pandemic prevention protocols, (2) basic computer, (3) computer networking, (4) internet infrastructure, (5) managing community-centered internet services, </w:t>
            </w:r>
            <w:r>
              <w:rPr>
                <w:rFonts w:ascii="Times New Roman" w:eastAsia="Times New Roman" w:hAnsi="Times New Roman" w:cs="Times New Roman"/>
                <w:sz w:val="20"/>
                <w:szCs w:val="20"/>
              </w:rPr>
              <w:t>(6) internet safety and security, (7) internet utilization for village administration, (8) remote education, (9) internet for SME development, (10) health service and telemedicine, (11) Internet of Things (IoT) and (12) disaster risk reduction (DRR).</w:t>
            </w:r>
          </w:p>
          <w:p w14:paraId="3BD1C0ED" w14:textId="77777777" w:rsidR="007356D6" w:rsidRDefault="00D7602D">
            <w:pPr>
              <w:spacing w:before="240" w:after="240"/>
              <w:ind w:left="1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Pr>
                <w:rFonts w:ascii="Times New Roman" w:eastAsia="Times New Roman" w:hAnsi="Times New Roman" w:cs="Times New Roman"/>
                <w:sz w:val="20"/>
                <w:szCs w:val="20"/>
              </w:rPr>
              <w:t xml:space="preserve">  Throughout 2021 to 2024, SCN training and capacity building programs have been held in 13 locations in 11 different provinces in Indonesia. The total number of participants involved was 891 people, consisting of 302 female and 589 male participants.</w:t>
            </w:r>
          </w:p>
          <w:p w14:paraId="78E30E6C" w14:textId="77777777" w:rsidR="007356D6" w:rsidRDefault="00D7602D">
            <w:pPr>
              <w:spacing w:before="240" w:after="240"/>
              <w:ind w:left="1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Pr>
                <w:rFonts w:ascii="Times New Roman" w:eastAsia="Times New Roman" w:hAnsi="Times New Roman" w:cs="Times New Roman"/>
                <w:sz w:val="20"/>
                <w:szCs w:val="20"/>
              </w:rPr>
              <w:t xml:space="preserve">   Community-centered internet infrastructure prototyping has been successfully developed in Ciptagelar indigenous community village (2019) and Ciracap</w:t>
            </w:r>
          </w:p>
          <w:p w14:paraId="39AD4CA1" w14:textId="77777777" w:rsidR="007356D6" w:rsidRDefault="00D7602D">
            <w:pPr>
              <w:spacing w:before="240" w:after="240" w:line="294" w:lineRule="auto"/>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Sub-district (2020). Later on the prototype was expanded to other areas such as Ketemenggungan Tae (2022</w:t>
            </w:r>
            <w:r>
              <w:rPr>
                <w:rFonts w:ascii="Times New Roman" w:eastAsia="Times New Roman" w:hAnsi="Times New Roman" w:cs="Times New Roman"/>
                <w:sz w:val="20"/>
                <w:szCs w:val="20"/>
              </w:rPr>
              <w:t>), Sukadana Village (2022), Mata Redi</w:t>
            </w:r>
          </w:p>
        </w:tc>
      </w:tr>
    </w:tbl>
    <w:p w14:paraId="641E572F" w14:textId="77777777" w:rsidR="007356D6" w:rsidRDefault="007356D6">
      <w:pPr>
        <w:spacing w:after="240"/>
        <w:jc w:val="both"/>
        <w:rPr>
          <w:rFonts w:ascii="Times New Roman" w:eastAsia="Times New Roman" w:hAnsi="Times New Roman" w:cs="Times New Roman"/>
          <w:sz w:val="28"/>
          <w:szCs w:val="28"/>
        </w:rPr>
      </w:pPr>
    </w:p>
    <w:tbl>
      <w:tblPr>
        <w:tblStyle w:val="af9"/>
        <w:tblW w:w="8745" w:type="dxa"/>
        <w:tblBorders>
          <w:top w:val="nil"/>
          <w:left w:val="nil"/>
          <w:bottom w:val="nil"/>
          <w:right w:val="nil"/>
          <w:insideH w:val="nil"/>
          <w:insideV w:val="nil"/>
        </w:tblBorders>
        <w:tblLayout w:type="fixed"/>
        <w:tblLook w:val="0600" w:firstRow="0" w:lastRow="0" w:firstColumn="0" w:lastColumn="0" w:noHBand="1" w:noVBand="1"/>
      </w:tblPr>
      <w:tblGrid>
        <w:gridCol w:w="1890"/>
        <w:gridCol w:w="6855"/>
      </w:tblGrid>
      <w:tr w:rsidR="007356D6" w14:paraId="3495BF79" w14:textId="77777777">
        <w:trPr>
          <w:trHeight w:val="12045"/>
        </w:trPr>
        <w:tc>
          <w:tcPr>
            <w:tcW w:w="189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B039424" w14:textId="77777777" w:rsidR="007356D6" w:rsidRDefault="00D7602D">
            <w:pPr>
              <w:spacing w:before="240" w:after="240"/>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tc>
        <w:tc>
          <w:tcPr>
            <w:tcW w:w="685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535722C3" w14:textId="77777777" w:rsidR="007356D6" w:rsidRDefault="00D7602D">
            <w:pPr>
              <w:spacing w:before="240" w:after="240"/>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Village (2022), Tembok Village (2022), Pulo Aceh (2022), Nimboran District (2023), Don Bosco Training Center (2023), Bobong Village (2023), and Toro Village (2024). Some of the prototypes have been able to achieve an advanced level, while others are still </w:t>
            </w:r>
            <w:r>
              <w:rPr>
                <w:rFonts w:ascii="Times New Roman" w:eastAsia="Times New Roman" w:hAnsi="Times New Roman" w:cs="Times New Roman"/>
                <w:sz w:val="20"/>
                <w:szCs w:val="20"/>
              </w:rPr>
              <w:t>in the development process.</w:t>
            </w:r>
          </w:p>
          <w:p w14:paraId="50DD6C14" w14:textId="77777777" w:rsidR="007356D6" w:rsidRDefault="00D7602D">
            <w:pPr>
              <w:spacing w:before="240" w:after="240"/>
              <w:ind w:left="120" w:right="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In early 2023 the community-centered internet infrastructure development was also enhanced with bamboo towers for internet backhaul as an alternative solution for utilizing locally sourced materials and promoting the sust</w:t>
            </w:r>
            <w:r>
              <w:rPr>
                <w:rFonts w:ascii="Times New Roman" w:eastAsia="Times New Roman" w:hAnsi="Times New Roman" w:cs="Times New Roman"/>
                <w:sz w:val="20"/>
                <w:szCs w:val="20"/>
              </w:rPr>
              <w:t>ainable development of internet infrastructure in rural areas by addressing the environmental impact of the internet infrastructure. The bamboo tower prototyping was deployed in Buka Tanah Village (2022), Tembok Village (2022), Ketemenggungan Tae (2023), C</w:t>
            </w:r>
            <w:r>
              <w:rPr>
                <w:rFonts w:ascii="Times New Roman" w:eastAsia="Times New Roman" w:hAnsi="Times New Roman" w:cs="Times New Roman"/>
                <w:sz w:val="20"/>
                <w:szCs w:val="20"/>
              </w:rPr>
              <w:t>iptagelar indigenous village (2023), Don Bosco Training Center (2023), and Ciracap Sub-district (2024).</w:t>
            </w:r>
          </w:p>
          <w:p w14:paraId="598821EB" w14:textId="77777777" w:rsidR="007356D6" w:rsidRDefault="00D7602D">
            <w:pPr>
              <w:spacing w:before="240" w:after="240"/>
              <w:ind w:left="120" w:righ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       This program was also enhanced with a research and policy advocacy process. From 2021 until present, research and policy advocacy has delivered</w:t>
            </w:r>
            <w:r>
              <w:rPr>
                <w:rFonts w:ascii="Times New Roman" w:eastAsia="Times New Roman" w:hAnsi="Times New Roman" w:cs="Times New Roman"/>
                <w:sz w:val="20"/>
                <w:szCs w:val="20"/>
              </w:rPr>
              <w:t xml:space="preserve"> some policy brief documents, position papers, joint statements, and publications in academic journals.</w:t>
            </w:r>
          </w:p>
          <w:p w14:paraId="568A085D" w14:textId="77777777" w:rsidR="007356D6" w:rsidRDefault="00D7602D">
            <w:pPr>
              <w:spacing w:before="240" w:after="240"/>
              <w:ind w:left="19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 </w:t>
            </w:r>
            <w:r>
              <w:rPr>
                <w:rFonts w:ascii="Times New Roman" w:eastAsia="Times New Roman" w:hAnsi="Times New Roman" w:cs="Times New Roman"/>
                <w:sz w:val="20"/>
                <w:szCs w:val="20"/>
              </w:rPr>
              <w:tab/>
              <w:t>From 2020 until 2024, Rural ICT Camp has involved</w:t>
            </w:r>
          </w:p>
          <w:p w14:paraId="086FC961" w14:textId="77777777" w:rsidR="007356D6" w:rsidRDefault="00D7602D">
            <w:pPr>
              <w:spacing w:before="240" w:after="240"/>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2.268 participants, consisting of 1.076 female and 1.192 male participants from 13 SCN project loc</w:t>
            </w:r>
            <w:r>
              <w:rPr>
                <w:rFonts w:ascii="Times New Roman" w:eastAsia="Times New Roman" w:hAnsi="Times New Roman" w:cs="Times New Roman"/>
                <w:sz w:val="20"/>
                <w:szCs w:val="20"/>
              </w:rPr>
              <w:t>ations in Indonesia, including national CSOs, and international participants. This also includes online participants from 35 different provinces in Indonesia, including Aceh, North Sumatera, West Sumatera, Bengkulu, Riau, Riau Island, Jambi, Lampung, Bangk</w:t>
            </w:r>
            <w:r>
              <w:rPr>
                <w:rFonts w:ascii="Times New Roman" w:eastAsia="Times New Roman" w:hAnsi="Times New Roman" w:cs="Times New Roman"/>
                <w:sz w:val="20"/>
                <w:szCs w:val="20"/>
              </w:rPr>
              <w:t>a Belitung, South Sumatera, West Kalimantan, East Kalimantan, South Kalimantan, Central Kalimantan, North Kalimantan, Banten, DKI Jakarta, West Java, Central Java, DI Yogyakarta, East Java, Bali, West Nusa Tenggara, East Nusa Tenggara, Gorontalo, West Sula</w:t>
            </w:r>
            <w:r>
              <w:rPr>
                <w:rFonts w:ascii="Times New Roman" w:eastAsia="Times New Roman" w:hAnsi="Times New Roman" w:cs="Times New Roman"/>
                <w:sz w:val="20"/>
                <w:szCs w:val="20"/>
              </w:rPr>
              <w:t>wesi, Central Sulawesi, North Sulawesi, Southeast Sulawesi, South Sulawesi, North Maluku, Maluku, West Papua, Papua, Southwest Papua.</w:t>
            </w:r>
          </w:p>
          <w:p w14:paraId="438D4FCD" w14:textId="77777777" w:rsidR="007356D6" w:rsidRDefault="00D7602D">
            <w:pPr>
              <w:spacing w:before="240" w:after="240"/>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 Recently the SCN training and capacity building program was also integrated with climate adaptation and mitigation prog</w:t>
            </w:r>
            <w:r>
              <w:rPr>
                <w:rFonts w:ascii="Times New Roman" w:eastAsia="Times New Roman" w:hAnsi="Times New Roman" w:cs="Times New Roman"/>
                <w:sz w:val="20"/>
                <w:szCs w:val="20"/>
              </w:rPr>
              <w:t>rams while deploying weather stations in some SCN project locations to collect microclimate data to increase knowledge and awareness about climate change, as well as to increase climate resilience at the local level.</w:t>
            </w:r>
          </w:p>
          <w:p w14:paraId="1F3B42D7" w14:textId="77777777" w:rsidR="007356D6" w:rsidRDefault="00D7602D">
            <w:pPr>
              <w:spacing w:before="120"/>
              <w:ind w:left="12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Impact:</w:t>
            </w:r>
          </w:p>
          <w:p w14:paraId="3F800401" w14:textId="77777777" w:rsidR="007356D6" w:rsidRDefault="00D7602D">
            <w:pPr>
              <w:spacing w:before="240" w:after="240"/>
              <w:ind w:left="120" w:righ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This initiative has </w:t>
            </w:r>
            <w:r>
              <w:rPr>
                <w:rFonts w:ascii="Times New Roman" w:eastAsia="Times New Roman" w:hAnsi="Times New Roman" w:cs="Times New Roman"/>
                <w:sz w:val="20"/>
                <w:szCs w:val="20"/>
              </w:rPr>
              <w:t>been able to map and identify the digital divide challenges in Indonesia;</w:t>
            </w:r>
          </w:p>
          <w:p w14:paraId="2D26624C" w14:textId="77777777" w:rsidR="007356D6" w:rsidRDefault="00D7602D">
            <w:pPr>
              <w:spacing w:before="240" w:after="240" w:line="264" w:lineRule="auto"/>
              <w:ind w:left="19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The project has been able to increase recognition and</w:t>
            </w:r>
          </w:p>
        </w:tc>
      </w:tr>
    </w:tbl>
    <w:p w14:paraId="6FDF51D5" w14:textId="77777777" w:rsidR="007356D6" w:rsidRDefault="007356D6">
      <w:pPr>
        <w:spacing w:after="240"/>
        <w:jc w:val="both"/>
        <w:rPr>
          <w:rFonts w:ascii="Times New Roman" w:eastAsia="Times New Roman" w:hAnsi="Times New Roman" w:cs="Times New Roman"/>
          <w:sz w:val="28"/>
          <w:szCs w:val="28"/>
        </w:rPr>
      </w:pPr>
    </w:p>
    <w:tbl>
      <w:tblPr>
        <w:tblStyle w:val="afa"/>
        <w:tblW w:w="8745" w:type="dxa"/>
        <w:tblBorders>
          <w:top w:val="nil"/>
          <w:left w:val="nil"/>
          <w:bottom w:val="nil"/>
          <w:right w:val="nil"/>
          <w:insideH w:val="nil"/>
          <w:insideV w:val="nil"/>
        </w:tblBorders>
        <w:tblLayout w:type="fixed"/>
        <w:tblLook w:val="0600" w:firstRow="0" w:lastRow="0" w:firstColumn="0" w:lastColumn="0" w:noHBand="1" w:noVBand="1"/>
      </w:tblPr>
      <w:tblGrid>
        <w:gridCol w:w="1905"/>
        <w:gridCol w:w="6840"/>
      </w:tblGrid>
      <w:tr w:rsidR="007356D6" w14:paraId="475EC604" w14:textId="77777777">
        <w:trPr>
          <w:trHeight w:val="12820"/>
        </w:trPr>
        <w:tc>
          <w:tcPr>
            <w:tcW w:w="19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5534027" w14:textId="77777777" w:rsidR="007356D6" w:rsidRDefault="00D7602D">
            <w:pPr>
              <w:spacing w:before="240" w:after="240"/>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tc>
        <w:tc>
          <w:tcPr>
            <w:tcW w:w="684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5D10809" w14:textId="77777777" w:rsidR="007356D6" w:rsidRDefault="00D7602D">
            <w:pPr>
              <w:spacing w:before="240" w:after="240"/>
              <w:ind w:left="120" w:right="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visibility of community-centered meaningful connectivity initiatives in Indonesia;</w:t>
            </w:r>
          </w:p>
          <w:p w14:paraId="7F2E2260" w14:textId="77777777" w:rsidR="007356D6" w:rsidRDefault="00D7602D">
            <w:pPr>
              <w:spacing w:before="240" w:after="240"/>
              <w:ind w:left="1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The project has been able to introduce and identify various community-centered internet service governance model, as well as to implement and develop community-centered internet service business models with diverse and contextual approach;</w:t>
            </w:r>
          </w:p>
          <w:p w14:paraId="27E9A64D" w14:textId="77777777" w:rsidR="007356D6" w:rsidRDefault="00D7602D">
            <w:pPr>
              <w:spacing w:before="240" w:after="240"/>
              <w:ind w:left="12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The School of Community Networks training and capacity building program has been actively engaged in the development of peer-to-peer learning ecosystem;</w:t>
            </w:r>
          </w:p>
          <w:p w14:paraId="499DA154" w14:textId="77777777" w:rsidR="007356D6" w:rsidRDefault="00D7602D">
            <w:pPr>
              <w:spacing w:before="240" w:after="240"/>
              <w:ind w:left="120" w:righ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Provide and facilitate a space for policy dialogue, as well as multi-stakeholder collabor</w:t>
            </w:r>
            <w:r>
              <w:rPr>
                <w:rFonts w:ascii="Times New Roman" w:eastAsia="Times New Roman" w:hAnsi="Times New Roman" w:cs="Times New Roman"/>
                <w:sz w:val="20"/>
                <w:szCs w:val="20"/>
              </w:rPr>
              <w:t>ation involving government representatives, civil society organization (CSO), the business sector, academic institutions, technical communities and communities in rural and remote areas;</w:t>
            </w:r>
          </w:p>
          <w:p w14:paraId="3F42E6B0" w14:textId="77777777" w:rsidR="007356D6" w:rsidRDefault="00D7602D">
            <w:pPr>
              <w:spacing w:before="120"/>
              <w:ind w:left="12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Lessons learned:</w:t>
            </w:r>
          </w:p>
          <w:p w14:paraId="0498B93F" w14:textId="77777777" w:rsidR="007356D6" w:rsidRDefault="00D7602D">
            <w:pPr>
              <w:spacing w:before="240" w:after="240"/>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The School of Community Networks (SCN) tr</w:t>
            </w:r>
            <w:r>
              <w:rPr>
                <w:rFonts w:ascii="Times New Roman" w:eastAsia="Times New Roman" w:hAnsi="Times New Roman" w:cs="Times New Roman"/>
                <w:sz w:val="20"/>
                <w:szCs w:val="20"/>
              </w:rPr>
              <w:t>aining and capacity building program is a long-term effort that needs to be developed gradually and sustainably, and is based on a human-centered and multi-stakeholder approach;</w:t>
            </w:r>
          </w:p>
          <w:p w14:paraId="7207480D" w14:textId="77777777" w:rsidR="007356D6" w:rsidRDefault="00D7602D">
            <w:pPr>
              <w:spacing w:before="240" w:after="240"/>
              <w:ind w:left="120" w:right="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Internet technology is not rocket science. But it still requires contex</w:t>
            </w:r>
            <w:r>
              <w:rPr>
                <w:rFonts w:ascii="Times New Roman" w:eastAsia="Times New Roman" w:hAnsi="Times New Roman" w:cs="Times New Roman"/>
                <w:sz w:val="20"/>
                <w:szCs w:val="20"/>
              </w:rPr>
              <w:t>tual approaches and training techniques in terms of capacity building for rural and remote communities who have never interacted with computers and digital technology;</w:t>
            </w:r>
          </w:p>
          <w:p w14:paraId="1C641455" w14:textId="77777777" w:rsidR="007356D6" w:rsidRDefault="00D7602D">
            <w:pPr>
              <w:spacing w:before="240" w:after="240"/>
              <w:ind w:left="1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Community engagement can be built if the shared interests and common needs of loc</w:t>
            </w:r>
            <w:r>
              <w:rPr>
                <w:rFonts w:ascii="Times New Roman" w:eastAsia="Times New Roman" w:hAnsi="Times New Roman" w:cs="Times New Roman"/>
                <w:sz w:val="20"/>
                <w:szCs w:val="20"/>
              </w:rPr>
              <w:t>al communities can be met through the development and utilization of community-centered internet infrastructure;</w:t>
            </w:r>
          </w:p>
          <w:p w14:paraId="466CD33A" w14:textId="77777777" w:rsidR="007356D6" w:rsidRDefault="00D7602D">
            <w:pPr>
              <w:spacing w:before="240" w:after="240"/>
              <w:ind w:left="1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Acceleration can occur through collaboration with the village government and local stakeholders who share the same vision and interests,</w:t>
            </w:r>
            <w:r>
              <w:rPr>
                <w:rFonts w:ascii="Times New Roman" w:eastAsia="Times New Roman" w:hAnsi="Times New Roman" w:cs="Times New Roman"/>
                <w:sz w:val="20"/>
                <w:szCs w:val="20"/>
              </w:rPr>
              <w:t xml:space="preserve"> in addition to having the knowledge to integrate community-centered internet infrastructure into rural development, including other needs such as job creation, economic empowerment, disaster risk reduction (DRR), climate change adaptation and mitigation, </w:t>
            </w:r>
            <w:r>
              <w:rPr>
                <w:rFonts w:ascii="Times New Roman" w:eastAsia="Times New Roman" w:hAnsi="Times New Roman" w:cs="Times New Roman"/>
                <w:sz w:val="20"/>
                <w:szCs w:val="20"/>
              </w:rPr>
              <w:t>etc;</w:t>
            </w:r>
          </w:p>
          <w:p w14:paraId="57F02372" w14:textId="77777777" w:rsidR="007356D6" w:rsidRDefault="00D7602D">
            <w:pPr>
              <w:spacing w:before="240" w:after="240"/>
              <w:ind w:left="120" w:right="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Technology transfer in rural communities cannot happen in a hurry. It requires a gradual process with hands-on learning through a human-centered approach;</w:t>
            </w:r>
          </w:p>
          <w:p w14:paraId="328CC247" w14:textId="77777777" w:rsidR="007356D6" w:rsidRDefault="00D7602D">
            <w:pPr>
              <w:spacing w:before="240" w:after="240"/>
              <w:ind w:left="120" w:right="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   </w:t>
            </w:r>
            <w:r>
              <w:rPr>
                <w:rFonts w:ascii="Times New Roman" w:eastAsia="Times New Roman" w:hAnsi="Times New Roman" w:cs="Times New Roman"/>
                <w:sz w:val="20"/>
                <w:szCs w:val="20"/>
              </w:rPr>
              <w:tab/>
              <w:t>Determination of location and beneficiaries needs to be articulated through a thoro</w:t>
            </w:r>
            <w:r>
              <w:rPr>
                <w:rFonts w:ascii="Times New Roman" w:eastAsia="Times New Roman" w:hAnsi="Times New Roman" w:cs="Times New Roman"/>
                <w:sz w:val="20"/>
                <w:szCs w:val="20"/>
              </w:rPr>
              <w:t>ugh survey and needs assessment that directly involves local communities;</w:t>
            </w:r>
          </w:p>
          <w:p w14:paraId="5D05ECEA" w14:textId="77777777" w:rsidR="007356D6" w:rsidRDefault="00D7602D">
            <w:pPr>
              <w:spacing w:before="240" w:after="240" w:line="294" w:lineRule="auto"/>
              <w:ind w:left="120"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 </w:t>
            </w:r>
            <w:r>
              <w:rPr>
                <w:rFonts w:ascii="Times New Roman" w:eastAsia="Times New Roman" w:hAnsi="Times New Roman" w:cs="Times New Roman"/>
                <w:sz w:val="20"/>
                <w:szCs w:val="20"/>
              </w:rPr>
              <w:tab/>
              <w:t>There are several SCN locations that failed and could not be continued due to several technical constraints, including transparency and accountability issues. To</w:t>
            </w:r>
          </w:p>
        </w:tc>
      </w:tr>
    </w:tbl>
    <w:p w14:paraId="19DF6EB5" w14:textId="77777777" w:rsidR="007356D6" w:rsidRDefault="007356D6">
      <w:pPr>
        <w:spacing w:after="240"/>
        <w:jc w:val="both"/>
        <w:rPr>
          <w:rFonts w:ascii="Times New Roman" w:eastAsia="Times New Roman" w:hAnsi="Times New Roman" w:cs="Times New Roman"/>
          <w:sz w:val="20"/>
          <w:szCs w:val="20"/>
        </w:rPr>
      </w:pPr>
    </w:p>
    <w:tbl>
      <w:tblPr>
        <w:tblStyle w:val="afb"/>
        <w:tblW w:w="8745" w:type="dxa"/>
        <w:tblBorders>
          <w:top w:val="nil"/>
          <w:left w:val="nil"/>
          <w:bottom w:val="nil"/>
          <w:right w:val="nil"/>
          <w:insideH w:val="nil"/>
          <w:insideV w:val="nil"/>
        </w:tblBorders>
        <w:tblLayout w:type="fixed"/>
        <w:tblLook w:val="0600" w:firstRow="0" w:lastRow="0" w:firstColumn="0" w:lastColumn="0" w:noHBand="1" w:noVBand="1"/>
      </w:tblPr>
      <w:tblGrid>
        <w:gridCol w:w="1905"/>
        <w:gridCol w:w="6840"/>
      </w:tblGrid>
      <w:tr w:rsidR="007356D6" w14:paraId="1129D439" w14:textId="77777777">
        <w:trPr>
          <w:trHeight w:val="5060"/>
        </w:trPr>
        <w:tc>
          <w:tcPr>
            <w:tcW w:w="19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BA6D4C5" w14:textId="77777777" w:rsidR="007356D6" w:rsidRDefault="00D7602D">
            <w:pPr>
              <w:spacing w:before="240" w:after="240"/>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tc>
        <w:tc>
          <w:tcPr>
            <w:tcW w:w="684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A3D5A31"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sustain community-centered internet infrastructure, long-term commitment that includes transparency and accountability is crucial. Ongoing efforts to develop community-centered internet infrastructure can also be improved and refined by learning from fail</w:t>
            </w:r>
            <w:r>
              <w:rPr>
                <w:rFonts w:ascii="Times New Roman" w:eastAsia="Times New Roman" w:hAnsi="Times New Roman" w:cs="Times New Roman"/>
                <w:sz w:val="20"/>
                <w:szCs w:val="20"/>
              </w:rPr>
              <w:t>ures;</w:t>
            </w:r>
          </w:p>
          <w:p w14:paraId="5EB9CE5C" w14:textId="77777777" w:rsidR="007356D6" w:rsidRDefault="00D7602D">
            <w:pPr>
              <w:spacing w:before="240" w:after="240"/>
              <w:ind w:left="12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 </w:t>
            </w:r>
            <w:r>
              <w:rPr>
                <w:rFonts w:ascii="Times New Roman" w:eastAsia="Times New Roman" w:hAnsi="Times New Roman" w:cs="Times New Roman"/>
                <w:sz w:val="20"/>
                <w:szCs w:val="20"/>
              </w:rPr>
              <w:tab/>
              <w:t>In order to sustain community-centered connectivity in underserved areas, a diverse, flexible and responsible funding support is needed;</w:t>
            </w:r>
          </w:p>
          <w:p w14:paraId="192E80FB" w14:textId="77777777" w:rsidR="007356D6" w:rsidRDefault="00D7602D">
            <w:pPr>
              <w:spacing w:before="240" w:after="240"/>
              <w:ind w:left="12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In regards to the development and utilization of community-centered internet infrastructure in under</w:t>
            </w:r>
            <w:r>
              <w:rPr>
                <w:rFonts w:ascii="Times New Roman" w:eastAsia="Times New Roman" w:hAnsi="Times New Roman" w:cs="Times New Roman"/>
                <w:sz w:val="20"/>
                <w:szCs w:val="20"/>
              </w:rPr>
              <w:t>served areas, local adaptation and contextualization is required to meet the needs and technical challenges in addressing diverse geographic and social contexts.</w:t>
            </w:r>
          </w:p>
          <w:p w14:paraId="2816E3B1" w14:textId="77777777" w:rsidR="007356D6" w:rsidRDefault="00D7602D">
            <w:pPr>
              <w:spacing w:before="240" w:after="240"/>
              <w:ind w:left="1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       Ongoing efforts are needed to mitigate and anticipate potential conflicts, in addition to anticipating the impact of technological disruption on the local values and traditions among rural and remote communities, including to anticipate the uninte</w:t>
            </w:r>
            <w:r>
              <w:rPr>
                <w:rFonts w:ascii="Times New Roman" w:eastAsia="Times New Roman" w:hAnsi="Times New Roman" w:cs="Times New Roman"/>
                <w:sz w:val="20"/>
                <w:szCs w:val="20"/>
              </w:rPr>
              <w:t>nded consequences of internet and digital tech adoption such as the spread of hoax news, disinformation, misinformation, online gender-based violence, etc.</w:t>
            </w:r>
          </w:p>
        </w:tc>
      </w:tr>
    </w:tbl>
    <w:p w14:paraId="0CBF36CC" w14:textId="77777777" w:rsidR="007356D6" w:rsidRDefault="007356D6">
      <w:pPr>
        <w:spacing w:after="240"/>
        <w:jc w:val="both"/>
        <w:rPr>
          <w:rFonts w:ascii="Times New Roman" w:eastAsia="Times New Roman" w:hAnsi="Times New Roman" w:cs="Times New Roman"/>
          <w:sz w:val="24"/>
          <w:szCs w:val="24"/>
        </w:rPr>
      </w:pPr>
    </w:p>
    <w:p w14:paraId="1EA5EA68" w14:textId="77777777" w:rsidR="007356D6" w:rsidRDefault="00D7602D">
      <w:pPr>
        <w:spacing w:before="6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Indonesian Internet Service Providers Association (APJII), Internet Survey Report 2019 - 2020 (Q</w:t>
      </w:r>
      <w:r>
        <w:rPr>
          <w:rFonts w:ascii="Times New Roman" w:eastAsia="Times New Roman" w:hAnsi="Times New Roman" w:cs="Times New Roman"/>
          <w:sz w:val="20"/>
          <w:szCs w:val="20"/>
        </w:rPr>
        <w:t>2).</w:t>
      </w:r>
    </w:p>
    <w:p w14:paraId="5E1E5765" w14:textId="77777777" w:rsidR="007356D6" w:rsidRDefault="00D7602D">
      <w:pPr>
        <w:ind w:left="100" w:right="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Indonesian Internet Service Providers Association (APJII), Internet Penetration Survey 2024. Conducted from December 18, 2023 to January 2024, released on February 4, 2023.</w:t>
      </w:r>
    </w:p>
    <w:p w14:paraId="4D0B9FB2" w14:textId="77777777" w:rsidR="007356D6" w:rsidRDefault="00D7602D">
      <w:pPr>
        <w:spacing w:before="100"/>
        <w:ind w:left="100"/>
        <w:jc w:val="both"/>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 Indonesian Internet Service Providers Association (APJII), Survey of Internet User Penetration in Underdeveloped Areas in 2024. Conducted from July to September 2024</w:t>
      </w:r>
    </w:p>
    <w:p w14:paraId="51FA5FFB" w14:textId="77777777" w:rsidR="007356D6" w:rsidRDefault="007356D6"/>
    <w:p w14:paraId="0D4104BE" w14:textId="77777777" w:rsidR="007356D6" w:rsidRDefault="007356D6"/>
    <w:tbl>
      <w:tblPr>
        <w:tblStyle w:val="afc"/>
        <w:tblW w:w="9080" w:type="dxa"/>
        <w:tblBorders>
          <w:top w:val="nil"/>
          <w:left w:val="nil"/>
          <w:bottom w:val="nil"/>
          <w:right w:val="nil"/>
          <w:insideH w:val="nil"/>
          <w:insideV w:val="nil"/>
        </w:tblBorders>
        <w:tblLayout w:type="fixed"/>
        <w:tblLook w:val="0600" w:firstRow="0" w:lastRow="0" w:firstColumn="0" w:lastColumn="0" w:noHBand="1" w:noVBand="1"/>
      </w:tblPr>
      <w:tblGrid>
        <w:gridCol w:w="1814"/>
        <w:gridCol w:w="7046"/>
        <w:gridCol w:w="220"/>
      </w:tblGrid>
      <w:tr w:rsidR="007356D6" w14:paraId="1E912571" w14:textId="77777777">
        <w:trPr>
          <w:trHeight w:val="680"/>
        </w:trPr>
        <w:tc>
          <w:tcPr>
            <w:tcW w:w="1815" w:type="dxa"/>
            <w:tcBorders>
              <w:top w:val="single" w:sz="8" w:space="0" w:color="000000"/>
              <w:left w:val="single" w:sz="8" w:space="0" w:color="000000"/>
              <w:bottom w:val="single" w:sz="8" w:space="0" w:color="000000"/>
              <w:right w:val="single" w:sz="8" w:space="0" w:color="000000"/>
            </w:tcBorders>
            <w:shd w:val="clear" w:color="auto" w:fill="CFE2F3"/>
            <w:tcMar>
              <w:top w:w="0" w:type="dxa"/>
              <w:left w:w="100" w:type="dxa"/>
              <w:bottom w:w="0" w:type="dxa"/>
              <w:right w:w="100" w:type="dxa"/>
            </w:tcMar>
          </w:tcPr>
          <w:p w14:paraId="125F975C"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2</w:t>
            </w:r>
          </w:p>
        </w:tc>
        <w:tc>
          <w:tcPr>
            <w:tcW w:w="7050" w:type="dxa"/>
            <w:tcBorders>
              <w:top w:val="single" w:sz="8" w:space="0" w:color="000000"/>
              <w:left w:val="single" w:sz="8" w:space="0" w:color="000000"/>
              <w:bottom w:val="single" w:sz="8" w:space="0" w:color="000000"/>
              <w:right w:val="single" w:sz="8" w:space="0" w:color="000000"/>
            </w:tcBorders>
            <w:shd w:val="clear" w:color="auto" w:fill="CFE2F3"/>
            <w:tcMar>
              <w:top w:w="0" w:type="dxa"/>
              <w:left w:w="100" w:type="dxa"/>
              <w:bottom w:w="0" w:type="dxa"/>
              <w:right w:w="100" w:type="dxa"/>
            </w:tcMar>
          </w:tcPr>
          <w:p w14:paraId="783E6FF2"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TOWARDS AN ENABLING POLICY ENVIRONMENT FOR SUSTAINABLE COMMUNITY TELECOMMUNICATI</w:t>
            </w:r>
            <w:r>
              <w:rPr>
                <w:rFonts w:ascii="Times New Roman" w:eastAsia="Times New Roman" w:hAnsi="Times New Roman" w:cs="Times New Roman"/>
                <w:b/>
                <w:sz w:val="20"/>
                <w:szCs w:val="20"/>
              </w:rPr>
              <w:t>ONS (2024).</w:t>
            </w:r>
          </w:p>
        </w:tc>
        <w:tc>
          <w:tcPr>
            <w:tcW w:w="215" w:type="dxa"/>
            <w:tcBorders>
              <w:top w:val="nil"/>
              <w:left w:val="single" w:sz="8" w:space="0" w:color="000000"/>
              <w:bottom w:val="nil"/>
              <w:right w:val="nil"/>
            </w:tcBorders>
            <w:tcMar>
              <w:top w:w="100" w:type="dxa"/>
              <w:left w:w="100" w:type="dxa"/>
              <w:bottom w:w="100" w:type="dxa"/>
              <w:right w:w="100" w:type="dxa"/>
            </w:tcMar>
          </w:tcPr>
          <w:p w14:paraId="0E599AB7" w14:textId="77777777" w:rsidR="007356D6" w:rsidRDefault="007356D6"/>
        </w:tc>
      </w:tr>
      <w:tr w:rsidR="007356D6" w14:paraId="5F7846A8" w14:textId="77777777">
        <w:trPr>
          <w:trHeight w:val="620"/>
        </w:trPr>
        <w:tc>
          <w:tcPr>
            <w:tcW w:w="1815" w:type="dxa"/>
            <w:tcBorders>
              <w:top w:val="single" w:sz="8"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156140D"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050" w:type="dxa"/>
            <w:tcBorders>
              <w:top w:val="single" w:sz="8" w:space="0" w:color="000000"/>
              <w:left w:val="nil"/>
              <w:bottom w:val="single" w:sz="5" w:space="0" w:color="000000"/>
              <w:right w:val="single" w:sz="5" w:space="0" w:color="000000"/>
            </w:tcBorders>
            <w:tcMar>
              <w:top w:w="0" w:type="dxa"/>
              <w:left w:w="100" w:type="dxa"/>
              <w:bottom w:w="0" w:type="dxa"/>
              <w:right w:w="100" w:type="dxa"/>
            </w:tcMar>
          </w:tcPr>
          <w:p w14:paraId="1E4C12D0"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The Americas. Facilitated from Mexico. All OAS member states invited.</w:t>
            </w:r>
          </w:p>
        </w:tc>
        <w:tc>
          <w:tcPr>
            <w:tcW w:w="215" w:type="dxa"/>
            <w:tcBorders>
              <w:top w:val="nil"/>
              <w:left w:val="nil"/>
              <w:bottom w:val="nil"/>
              <w:right w:val="nil"/>
            </w:tcBorders>
            <w:tcMar>
              <w:top w:w="100" w:type="dxa"/>
              <w:left w:w="100" w:type="dxa"/>
              <w:bottom w:w="100" w:type="dxa"/>
              <w:right w:w="100" w:type="dxa"/>
            </w:tcMar>
          </w:tcPr>
          <w:p w14:paraId="677A721A" w14:textId="77777777" w:rsidR="007356D6" w:rsidRDefault="007356D6"/>
        </w:tc>
      </w:tr>
      <w:tr w:rsidR="007356D6" w14:paraId="35F42AF1" w14:textId="77777777">
        <w:trPr>
          <w:trHeight w:val="620"/>
        </w:trPr>
        <w:tc>
          <w:tcPr>
            <w:tcW w:w="1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43B747F"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Frame</w:t>
            </w:r>
          </w:p>
        </w:tc>
        <w:tc>
          <w:tcPr>
            <w:tcW w:w="7050" w:type="dxa"/>
            <w:tcBorders>
              <w:top w:val="nil"/>
              <w:left w:val="nil"/>
              <w:bottom w:val="single" w:sz="5" w:space="0" w:color="000000"/>
              <w:right w:val="single" w:sz="5" w:space="0" w:color="000000"/>
            </w:tcBorders>
            <w:tcMar>
              <w:top w:w="0" w:type="dxa"/>
              <w:left w:w="100" w:type="dxa"/>
              <w:bottom w:w="0" w:type="dxa"/>
              <w:right w:w="100" w:type="dxa"/>
            </w:tcMar>
          </w:tcPr>
          <w:p w14:paraId="17F10155"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2024 (first edition). January-March (11 weeks)</w:t>
            </w:r>
          </w:p>
        </w:tc>
        <w:tc>
          <w:tcPr>
            <w:tcW w:w="215" w:type="dxa"/>
            <w:tcBorders>
              <w:top w:val="nil"/>
              <w:left w:val="nil"/>
              <w:bottom w:val="nil"/>
              <w:right w:val="nil"/>
            </w:tcBorders>
            <w:tcMar>
              <w:top w:w="100" w:type="dxa"/>
              <w:left w:w="100" w:type="dxa"/>
              <w:bottom w:w="100" w:type="dxa"/>
              <w:right w:w="100" w:type="dxa"/>
            </w:tcMar>
          </w:tcPr>
          <w:p w14:paraId="13CCE183" w14:textId="77777777" w:rsidR="007356D6" w:rsidRDefault="007356D6"/>
        </w:tc>
      </w:tr>
      <w:tr w:rsidR="007356D6" w14:paraId="5B1613F4" w14:textId="77777777">
        <w:trPr>
          <w:trHeight w:val="620"/>
        </w:trPr>
        <w:tc>
          <w:tcPr>
            <w:tcW w:w="1815" w:type="dxa"/>
            <w:tcBorders>
              <w:top w:val="nil"/>
              <w:left w:val="single" w:sz="5" w:space="0" w:color="000000"/>
              <w:bottom w:val="nil"/>
              <w:right w:val="single" w:sz="5" w:space="0" w:color="000000"/>
            </w:tcBorders>
            <w:tcMar>
              <w:top w:w="0" w:type="dxa"/>
              <w:left w:w="100" w:type="dxa"/>
              <w:bottom w:w="0" w:type="dxa"/>
              <w:right w:w="100" w:type="dxa"/>
            </w:tcMar>
          </w:tcPr>
          <w:p w14:paraId="73203CE9"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050" w:type="dxa"/>
            <w:tcBorders>
              <w:top w:val="nil"/>
              <w:left w:val="nil"/>
              <w:bottom w:val="nil"/>
              <w:right w:val="single" w:sz="5" w:space="0" w:color="000000"/>
            </w:tcBorders>
            <w:tcMar>
              <w:top w:w="0" w:type="dxa"/>
              <w:left w:w="100" w:type="dxa"/>
              <w:bottom w:w="0" w:type="dxa"/>
              <w:right w:w="100" w:type="dxa"/>
            </w:tcMar>
          </w:tcPr>
          <w:p w14:paraId="36CD9CEC"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APC covered the costs for transferring content to the  OAS learning platform</w:t>
            </w:r>
          </w:p>
        </w:tc>
        <w:tc>
          <w:tcPr>
            <w:tcW w:w="215" w:type="dxa"/>
            <w:tcBorders>
              <w:top w:val="nil"/>
              <w:left w:val="nil"/>
              <w:bottom w:val="nil"/>
              <w:right w:val="nil"/>
            </w:tcBorders>
            <w:tcMar>
              <w:top w:w="100" w:type="dxa"/>
              <w:left w:w="100" w:type="dxa"/>
              <w:bottom w:w="100" w:type="dxa"/>
              <w:right w:w="100" w:type="dxa"/>
            </w:tcMar>
          </w:tcPr>
          <w:p w14:paraId="0909E154" w14:textId="77777777" w:rsidR="007356D6" w:rsidRDefault="007356D6"/>
        </w:tc>
      </w:tr>
      <w:tr w:rsidR="007356D6" w14:paraId="039780A6" w14:textId="77777777">
        <w:trPr>
          <w:trHeight w:val="1160"/>
        </w:trPr>
        <w:tc>
          <w:tcPr>
            <w:tcW w:w="1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9085992"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050" w:type="dxa"/>
            <w:tcBorders>
              <w:top w:val="nil"/>
              <w:left w:val="nil"/>
              <w:bottom w:val="single" w:sz="5" w:space="0" w:color="000000"/>
              <w:right w:val="single" w:sz="5" w:space="0" w:color="000000"/>
            </w:tcBorders>
            <w:tcMar>
              <w:top w:w="0" w:type="dxa"/>
              <w:left w:w="100" w:type="dxa"/>
              <w:bottom w:w="0" w:type="dxa"/>
              <w:right w:w="100" w:type="dxa"/>
            </w:tcMar>
          </w:tcPr>
          <w:p w14:paraId="50611F63"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CITEL partnered with Rhizomatica and APC to embed the program as part of PCC1 2024 trainings and invite all CITEL members. APC covered platform contents costs and several of APC and Rhizomatica collaborators we</w:t>
            </w:r>
            <w:r>
              <w:rPr>
                <w:rFonts w:ascii="Times New Roman" w:eastAsia="Times New Roman" w:hAnsi="Times New Roman" w:cs="Times New Roman"/>
                <w:sz w:val="20"/>
                <w:szCs w:val="20"/>
              </w:rPr>
              <w:t xml:space="preserve">re guest speakers.                                                                                                      </w:t>
            </w:r>
            <w:r>
              <w:rPr>
                <w:rFonts w:ascii="Times New Roman" w:eastAsia="Times New Roman" w:hAnsi="Times New Roman" w:cs="Times New Roman"/>
                <w:sz w:val="20"/>
                <w:szCs w:val="20"/>
              </w:rPr>
              <w:tab/>
            </w:r>
          </w:p>
        </w:tc>
        <w:tc>
          <w:tcPr>
            <w:tcW w:w="215" w:type="dxa"/>
            <w:tcBorders>
              <w:top w:val="nil"/>
              <w:left w:val="nil"/>
              <w:bottom w:val="nil"/>
              <w:right w:val="nil"/>
            </w:tcBorders>
            <w:tcMar>
              <w:top w:w="100" w:type="dxa"/>
              <w:left w:w="100" w:type="dxa"/>
              <w:bottom w:w="100" w:type="dxa"/>
              <w:right w:w="100" w:type="dxa"/>
            </w:tcMar>
          </w:tcPr>
          <w:p w14:paraId="38FE01CA" w14:textId="77777777" w:rsidR="007356D6" w:rsidRDefault="007356D6"/>
        </w:tc>
      </w:tr>
      <w:tr w:rsidR="007356D6" w14:paraId="04AD4B02" w14:textId="77777777">
        <w:trPr>
          <w:trHeight w:val="695"/>
        </w:trPr>
        <w:tc>
          <w:tcPr>
            <w:tcW w:w="1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62F00BF"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050" w:type="dxa"/>
            <w:tcBorders>
              <w:top w:val="nil"/>
              <w:left w:val="nil"/>
              <w:bottom w:val="single" w:sz="5" w:space="0" w:color="000000"/>
              <w:right w:val="single" w:sz="5" w:space="0" w:color="000000"/>
            </w:tcBorders>
            <w:tcMar>
              <w:top w:w="0" w:type="dxa"/>
              <w:left w:w="100" w:type="dxa"/>
              <w:bottom w:w="0" w:type="dxa"/>
              <w:right w:w="100" w:type="dxa"/>
            </w:tcMar>
          </w:tcPr>
          <w:p w14:paraId="343C922E"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Regulation as a barrier to local models of connectivity;urban-rural digital divide; old paradigms for new technologies</w:t>
            </w:r>
          </w:p>
        </w:tc>
        <w:tc>
          <w:tcPr>
            <w:tcW w:w="215" w:type="dxa"/>
            <w:tcBorders>
              <w:top w:val="nil"/>
              <w:left w:val="nil"/>
              <w:bottom w:val="nil"/>
              <w:right w:val="nil"/>
            </w:tcBorders>
            <w:tcMar>
              <w:top w:w="100" w:type="dxa"/>
              <w:left w:w="100" w:type="dxa"/>
              <w:bottom w:w="100" w:type="dxa"/>
              <w:right w:w="100" w:type="dxa"/>
            </w:tcMar>
          </w:tcPr>
          <w:p w14:paraId="12C0ACAE" w14:textId="77777777" w:rsidR="007356D6" w:rsidRDefault="007356D6"/>
        </w:tc>
      </w:tr>
      <w:tr w:rsidR="007356D6" w14:paraId="3559F26B" w14:textId="77777777">
        <w:trPr>
          <w:trHeight w:val="1175"/>
        </w:trPr>
        <w:tc>
          <w:tcPr>
            <w:tcW w:w="1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7233D42"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Which were the actions taken to address the problem(s)?</w:t>
            </w:r>
          </w:p>
        </w:tc>
        <w:tc>
          <w:tcPr>
            <w:tcW w:w="7050" w:type="dxa"/>
            <w:tcBorders>
              <w:top w:val="nil"/>
              <w:left w:val="nil"/>
              <w:bottom w:val="single" w:sz="5" w:space="0" w:color="000000"/>
              <w:right w:val="single" w:sz="5" w:space="0" w:color="000000"/>
            </w:tcBorders>
            <w:tcMar>
              <w:top w:w="0" w:type="dxa"/>
              <w:left w:w="100" w:type="dxa"/>
              <w:bottom w:w="0" w:type="dxa"/>
              <w:right w:w="100" w:type="dxa"/>
            </w:tcMar>
          </w:tcPr>
          <w:p w14:paraId="6DF1C2EC"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An online training program for regulators and policymakers in Latin America and the Caribbean where paradigms of regulation are reviewed, myths unveiled, and collectively we build an enabling policy and regulation framework for meaningful access to connect</w:t>
            </w:r>
            <w:r>
              <w:rPr>
                <w:rFonts w:ascii="Times New Roman" w:eastAsia="Times New Roman" w:hAnsi="Times New Roman" w:cs="Times New Roman"/>
                <w:sz w:val="20"/>
                <w:szCs w:val="20"/>
              </w:rPr>
              <w:t>ivity .</w:t>
            </w:r>
          </w:p>
        </w:tc>
        <w:tc>
          <w:tcPr>
            <w:tcW w:w="215" w:type="dxa"/>
            <w:tcBorders>
              <w:top w:val="nil"/>
              <w:left w:val="nil"/>
              <w:bottom w:val="nil"/>
              <w:right w:val="nil"/>
            </w:tcBorders>
            <w:tcMar>
              <w:top w:w="100" w:type="dxa"/>
              <w:left w:w="100" w:type="dxa"/>
              <w:bottom w:w="100" w:type="dxa"/>
              <w:right w:w="100" w:type="dxa"/>
            </w:tcMar>
          </w:tcPr>
          <w:p w14:paraId="6ECFCF8B" w14:textId="77777777" w:rsidR="007356D6" w:rsidRDefault="007356D6"/>
        </w:tc>
      </w:tr>
      <w:tr w:rsidR="007356D6" w14:paraId="2BEF7C4D" w14:textId="77777777">
        <w:trPr>
          <w:trHeight w:val="9815"/>
        </w:trPr>
        <w:tc>
          <w:tcPr>
            <w:tcW w:w="1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6B5D480"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050" w:type="dxa"/>
            <w:tcBorders>
              <w:top w:val="nil"/>
              <w:left w:val="nil"/>
              <w:bottom w:val="single" w:sz="5" w:space="0" w:color="000000"/>
              <w:right w:val="single" w:sz="5" w:space="0" w:color="000000"/>
            </w:tcBorders>
            <w:tcMar>
              <w:top w:w="0" w:type="dxa"/>
              <w:left w:w="100" w:type="dxa"/>
              <w:bottom w:w="0" w:type="dxa"/>
              <w:right w:w="100" w:type="dxa"/>
            </w:tcMar>
          </w:tcPr>
          <w:p w14:paraId="18A62658"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3919AA67"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35 trainees admitted, from 153 applicants from 12 LAC countries.</w:t>
            </w:r>
          </w:p>
          <w:p w14:paraId="28AB003F"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12 received their certificate of completion.</w:t>
            </w:r>
          </w:p>
          <w:p w14:paraId="433527A9"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14:paraId="693F4FC4"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Impact:                                                                             </w:t>
            </w:r>
            <w:r>
              <w:rPr>
                <w:rFonts w:ascii="Times New Roman" w:eastAsia="Times New Roman" w:hAnsi="Times New Roman" w:cs="Times New Roman"/>
                <w:sz w:val="20"/>
                <w:szCs w:val="20"/>
              </w:rPr>
              <w:tab/>
            </w:r>
          </w:p>
          <w:p w14:paraId="3CE3F615"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Methodology to help them identify bias, dated paradigms, myths or legacy regulation th</w:t>
            </w:r>
            <w:r>
              <w:rPr>
                <w:rFonts w:ascii="Times New Roman" w:eastAsia="Times New Roman" w:hAnsi="Times New Roman" w:cs="Times New Roman"/>
                <w:sz w:val="20"/>
                <w:szCs w:val="20"/>
              </w:rPr>
              <w:t>at hinders inclusion and how to revert that thinking, proved a success.</w:t>
            </w:r>
          </w:p>
          <w:p w14:paraId="10646257"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Trainings like this, help regulators think out-of-the-box, unlearning myths that are not fit for purpose; act really for the public interest. Know that many colleagues face the same ch</w:t>
            </w:r>
            <w:r>
              <w:rPr>
                <w:rFonts w:ascii="Times New Roman" w:eastAsia="Times New Roman" w:hAnsi="Times New Roman" w:cs="Times New Roman"/>
                <w:sz w:val="20"/>
                <w:szCs w:val="20"/>
              </w:rPr>
              <w:t>allenges and succeed when doing things differently if using the correct information and methodology.</w:t>
            </w:r>
          </w:p>
          <w:p w14:paraId="761D6DDB"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Too soon to tell if regulators put in practice what they learned here.</w:t>
            </w:r>
          </w:p>
          <w:p w14:paraId="620C6AFC"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11712C47"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Lessons learned: </w:t>
            </w:r>
          </w:p>
          <w:p w14:paraId="3DBC5465"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…Chatham House Rule worked great to create a circle of trust. H</w:t>
            </w:r>
            <w:r>
              <w:rPr>
                <w:rFonts w:ascii="Times New Roman" w:eastAsia="Times New Roman" w:hAnsi="Times New Roman" w:cs="Times New Roman"/>
                <w:sz w:val="20"/>
                <w:szCs w:val="20"/>
              </w:rPr>
              <w:t>ands-on exercises of analytical thinking, create their own road-map to inclusion, diversity of group, speakers and facilitators. Tutoring is intense in time. Daily feedback is key and deadlines so no one lags behind. Live webinars (1/unit) were fundamental</w:t>
            </w:r>
            <w:r>
              <w:rPr>
                <w:rFonts w:ascii="Times New Roman" w:eastAsia="Times New Roman" w:hAnsi="Times New Roman" w:cs="Times New Roman"/>
                <w:sz w:val="20"/>
                <w:szCs w:val="20"/>
              </w:rPr>
              <w:t xml:space="preserve"> and we all learned from peer experiences and diverse ways of thinking.</w:t>
            </w:r>
            <w:r>
              <w:rPr>
                <w:rFonts w:ascii="Times New Roman" w:eastAsia="Times New Roman" w:hAnsi="Times New Roman" w:cs="Times New Roman"/>
                <w:sz w:val="20"/>
                <w:szCs w:val="20"/>
              </w:rPr>
              <w:br/>
              <w:t xml:space="preserve"> Admit around 50 as only 50% or less will complete the program.</w:t>
            </w:r>
          </w:p>
          <w:p w14:paraId="7CFE6DCC"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Only for regulators, policy makers, law makers, not aimed at community networks advocates/reps,  but one or two may be g</w:t>
            </w:r>
            <w:r>
              <w:rPr>
                <w:rFonts w:ascii="Times New Roman" w:eastAsia="Times New Roman" w:hAnsi="Times New Roman" w:cs="Times New Roman"/>
                <w:sz w:val="20"/>
                <w:szCs w:val="20"/>
              </w:rPr>
              <w:t>uest speakers.</w:t>
            </w:r>
          </w:p>
          <w:p w14:paraId="47C71369"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Book guest speakers far in advance so that all webinars may be calendarized since day 1 of training.</w:t>
            </w:r>
          </w:p>
          <w:p w14:paraId="3B4076FD"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3321AB91"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15" w:type="dxa"/>
            <w:tcBorders>
              <w:top w:val="nil"/>
              <w:left w:val="nil"/>
              <w:bottom w:val="nil"/>
              <w:right w:val="nil"/>
            </w:tcBorders>
            <w:tcMar>
              <w:top w:w="100" w:type="dxa"/>
              <w:left w:w="100" w:type="dxa"/>
              <w:bottom w:w="100" w:type="dxa"/>
              <w:right w:w="100" w:type="dxa"/>
            </w:tcMar>
          </w:tcPr>
          <w:p w14:paraId="2DBFA37B" w14:textId="77777777" w:rsidR="007356D6" w:rsidRDefault="007356D6"/>
        </w:tc>
      </w:tr>
    </w:tbl>
    <w:p w14:paraId="1D806EEA" w14:textId="77777777" w:rsidR="007356D6" w:rsidRDefault="00D7602D">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fd"/>
        <w:tblW w:w="9345" w:type="dxa"/>
        <w:tblBorders>
          <w:top w:val="nil"/>
          <w:left w:val="nil"/>
          <w:bottom w:val="nil"/>
          <w:right w:val="nil"/>
          <w:insideH w:val="nil"/>
          <w:insideV w:val="nil"/>
        </w:tblBorders>
        <w:tblLayout w:type="fixed"/>
        <w:tblLook w:val="0600" w:firstRow="0" w:lastRow="0" w:firstColumn="0" w:lastColumn="0" w:noHBand="1" w:noVBand="1"/>
      </w:tblPr>
      <w:tblGrid>
        <w:gridCol w:w="2070"/>
        <w:gridCol w:w="7275"/>
      </w:tblGrid>
      <w:tr w:rsidR="007356D6" w14:paraId="01E6283C" w14:textId="77777777">
        <w:trPr>
          <w:trHeight w:val="420"/>
        </w:trPr>
        <w:tc>
          <w:tcPr>
            <w:tcW w:w="2070" w:type="dxa"/>
            <w:tcBorders>
              <w:top w:val="single" w:sz="5" w:space="0" w:color="000000"/>
              <w:left w:val="single" w:sz="5" w:space="0" w:color="000000"/>
              <w:bottom w:val="single" w:sz="5" w:space="0" w:color="000000"/>
              <w:right w:val="single" w:sz="5" w:space="0" w:color="000000"/>
            </w:tcBorders>
            <w:shd w:val="clear" w:color="auto" w:fill="CFE2F3"/>
            <w:tcMar>
              <w:top w:w="0" w:type="dxa"/>
              <w:left w:w="100" w:type="dxa"/>
              <w:bottom w:w="0" w:type="dxa"/>
              <w:right w:w="100" w:type="dxa"/>
            </w:tcMar>
          </w:tcPr>
          <w:p w14:paraId="632BD1C9"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3</w:t>
            </w:r>
          </w:p>
        </w:tc>
        <w:tc>
          <w:tcPr>
            <w:tcW w:w="7275" w:type="dxa"/>
            <w:tcBorders>
              <w:top w:val="single" w:sz="5" w:space="0" w:color="000000"/>
              <w:left w:val="nil"/>
              <w:bottom w:val="single" w:sz="5" w:space="0" w:color="000000"/>
              <w:right w:val="single" w:sz="5" w:space="0" w:color="000000"/>
            </w:tcBorders>
            <w:shd w:val="clear" w:color="auto" w:fill="CFE2F3"/>
            <w:tcMar>
              <w:top w:w="0" w:type="dxa"/>
              <w:left w:w="100" w:type="dxa"/>
              <w:bottom w:w="0" w:type="dxa"/>
              <w:right w:w="100" w:type="dxa"/>
            </w:tcMar>
          </w:tcPr>
          <w:p w14:paraId="231BF080"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Central American Training Programme in Telecommunications and Broadcasting</w:t>
            </w:r>
          </w:p>
        </w:tc>
      </w:tr>
      <w:tr w:rsidR="007356D6" w:rsidRPr="00BB0B18" w14:paraId="7A4E08C7" w14:textId="77777777">
        <w:trPr>
          <w:trHeight w:val="420"/>
        </w:trPr>
        <w:tc>
          <w:tcPr>
            <w:tcW w:w="20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5A22F14"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275" w:type="dxa"/>
            <w:tcBorders>
              <w:top w:val="nil"/>
              <w:left w:val="nil"/>
              <w:bottom w:val="single" w:sz="5" w:space="0" w:color="000000"/>
              <w:right w:val="single" w:sz="5" w:space="0" w:color="000000"/>
            </w:tcBorders>
            <w:tcMar>
              <w:top w:w="0" w:type="dxa"/>
              <w:left w:w="100" w:type="dxa"/>
              <w:bottom w:w="0" w:type="dxa"/>
              <w:right w:w="100" w:type="dxa"/>
            </w:tcMar>
          </w:tcPr>
          <w:p w14:paraId="69F515B1" w14:textId="77777777" w:rsidR="007356D6" w:rsidRPr="00BB0B18" w:rsidRDefault="00D7602D">
            <w:pPr>
              <w:spacing w:before="240"/>
              <w:rPr>
                <w:rFonts w:ascii="Times New Roman" w:eastAsia="Times New Roman" w:hAnsi="Times New Roman" w:cs="Times New Roman"/>
                <w:sz w:val="20"/>
                <w:szCs w:val="20"/>
                <w:lang w:val="es-ES"/>
              </w:rPr>
            </w:pPr>
            <w:r w:rsidRPr="00BB0B18">
              <w:rPr>
                <w:rFonts w:ascii="Times New Roman" w:eastAsia="Times New Roman" w:hAnsi="Times New Roman" w:cs="Times New Roman"/>
                <w:sz w:val="20"/>
                <w:szCs w:val="20"/>
                <w:lang w:val="es-ES"/>
              </w:rPr>
              <w:t>Central America (Guatemala, El Salvador, Belize, Costa Rica &amp; Panamá)</w:t>
            </w:r>
          </w:p>
        </w:tc>
      </w:tr>
      <w:tr w:rsidR="007356D6" w14:paraId="1BAB55FD" w14:textId="77777777">
        <w:trPr>
          <w:trHeight w:val="420"/>
        </w:trPr>
        <w:tc>
          <w:tcPr>
            <w:tcW w:w="20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EB3C690"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Time Frame</w:t>
            </w:r>
          </w:p>
        </w:tc>
        <w:tc>
          <w:tcPr>
            <w:tcW w:w="7275" w:type="dxa"/>
            <w:tcBorders>
              <w:top w:val="nil"/>
              <w:left w:val="nil"/>
              <w:bottom w:val="single" w:sz="5" w:space="0" w:color="000000"/>
              <w:right w:val="single" w:sz="5" w:space="0" w:color="000000"/>
            </w:tcBorders>
            <w:tcMar>
              <w:top w:w="0" w:type="dxa"/>
              <w:left w:w="100" w:type="dxa"/>
              <w:bottom w:w="0" w:type="dxa"/>
              <w:right w:w="100" w:type="dxa"/>
            </w:tcMar>
          </w:tcPr>
          <w:p w14:paraId="71D536FC"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Two years, one year ongoing</w:t>
            </w:r>
          </w:p>
        </w:tc>
      </w:tr>
      <w:tr w:rsidR="007356D6" w14:paraId="3987E7EC" w14:textId="77777777">
        <w:trPr>
          <w:trHeight w:val="735"/>
        </w:trPr>
        <w:tc>
          <w:tcPr>
            <w:tcW w:w="20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70E88E1"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275" w:type="dxa"/>
            <w:tcBorders>
              <w:top w:val="nil"/>
              <w:left w:val="nil"/>
              <w:bottom w:val="single" w:sz="5" w:space="0" w:color="000000"/>
              <w:right w:val="single" w:sz="5" w:space="0" w:color="000000"/>
            </w:tcBorders>
            <w:tcMar>
              <w:top w:w="0" w:type="dxa"/>
              <w:left w:w="100" w:type="dxa"/>
              <w:bottom w:w="0" w:type="dxa"/>
              <w:right w:w="100" w:type="dxa"/>
            </w:tcMar>
          </w:tcPr>
          <w:p w14:paraId="23A5DB88"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CLUA (Climate and Land Use Alliance)</w:t>
            </w:r>
          </w:p>
          <w:p w14:paraId="2CE3C84C"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Open Society</w:t>
            </w:r>
          </w:p>
        </w:tc>
      </w:tr>
      <w:tr w:rsidR="007356D6" w14:paraId="56B61781" w14:textId="77777777">
        <w:trPr>
          <w:trHeight w:val="2415"/>
        </w:trPr>
        <w:tc>
          <w:tcPr>
            <w:tcW w:w="20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DD91A2F"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275" w:type="dxa"/>
            <w:tcBorders>
              <w:top w:val="nil"/>
              <w:left w:val="nil"/>
              <w:bottom w:val="single" w:sz="5" w:space="0" w:color="000000"/>
              <w:right w:val="single" w:sz="5" w:space="0" w:color="000000"/>
            </w:tcBorders>
            <w:tcMar>
              <w:top w:w="0" w:type="dxa"/>
              <w:left w:w="100" w:type="dxa"/>
              <w:bottom w:w="0" w:type="dxa"/>
              <w:right w:w="100" w:type="dxa"/>
            </w:tcMar>
          </w:tcPr>
          <w:p w14:paraId="7CCE418E" w14:textId="77777777" w:rsidR="007356D6" w:rsidRPr="00BB0B18" w:rsidRDefault="00D7602D">
            <w:pPr>
              <w:spacing w:before="240"/>
              <w:rPr>
                <w:rFonts w:ascii="Times New Roman" w:eastAsia="Times New Roman" w:hAnsi="Times New Roman" w:cs="Times New Roman"/>
                <w:sz w:val="20"/>
                <w:szCs w:val="20"/>
                <w:lang w:val="es-ES"/>
              </w:rPr>
            </w:pPr>
            <w:r w:rsidRPr="00BB0B18">
              <w:rPr>
                <w:rFonts w:ascii="Times New Roman" w:eastAsia="Times New Roman" w:hAnsi="Times New Roman" w:cs="Times New Roman"/>
                <w:sz w:val="20"/>
                <w:szCs w:val="20"/>
                <w:lang w:val="es-ES"/>
              </w:rPr>
              <w:t>Escuela Mesoamericana de Liderazgo</w:t>
            </w:r>
            <w:r w:rsidRPr="00BB0B18">
              <w:rPr>
                <w:rFonts w:ascii="Times New Roman" w:eastAsia="Times New Roman" w:hAnsi="Times New Roman" w:cs="Times New Roman"/>
                <w:sz w:val="20"/>
                <w:szCs w:val="20"/>
                <w:lang w:val="es-ES"/>
              </w:rPr>
              <w:br/>
            </w:r>
            <w:r w:rsidRPr="00BB0B18">
              <w:rPr>
                <w:rFonts w:ascii="Times New Roman" w:eastAsia="Times New Roman" w:hAnsi="Times New Roman" w:cs="Times New Roman"/>
                <w:sz w:val="20"/>
                <w:szCs w:val="20"/>
                <w:lang w:val="es-ES"/>
              </w:rPr>
              <w:t xml:space="preserve"> Red Centroamericana de Radios Comunitarias Indígenas</w:t>
            </w:r>
          </w:p>
          <w:p w14:paraId="0FB5E58A" w14:textId="77777777" w:rsidR="007356D6" w:rsidRPr="00BB0B18" w:rsidRDefault="00D7602D">
            <w:pPr>
              <w:spacing w:before="240"/>
              <w:rPr>
                <w:rFonts w:ascii="Times New Roman" w:eastAsia="Times New Roman" w:hAnsi="Times New Roman" w:cs="Times New Roman"/>
                <w:sz w:val="20"/>
                <w:szCs w:val="20"/>
                <w:lang w:val="es-ES"/>
              </w:rPr>
            </w:pPr>
            <w:r w:rsidRPr="00BB0B18">
              <w:rPr>
                <w:rFonts w:ascii="Times New Roman" w:eastAsia="Times New Roman" w:hAnsi="Times New Roman" w:cs="Times New Roman"/>
                <w:sz w:val="20"/>
                <w:szCs w:val="20"/>
                <w:lang w:val="es-ES"/>
              </w:rPr>
              <w:t>Alianza Mesoamericana de Pueblos y Bosques</w:t>
            </w:r>
          </w:p>
          <w:p w14:paraId="5033A9D6" w14:textId="77777777" w:rsidR="007356D6" w:rsidRPr="00BB0B18" w:rsidRDefault="00D7602D">
            <w:pPr>
              <w:spacing w:before="240"/>
              <w:rPr>
                <w:rFonts w:ascii="Times New Roman" w:eastAsia="Times New Roman" w:hAnsi="Times New Roman" w:cs="Times New Roman"/>
                <w:sz w:val="20"/>
                <w:szCs w:val="20"/>
                <w:lang w:val="es-ES"/>
              </w:rPr>
            </w:pPr>
            <w:r w:rsidRPr="00BB0B18">
              <w:rPr>
                <w:rFonts w:ascii="Times New Roman" w:eastAsia="Times New Roman" w:hAnsi="Times New Roman" w:cs="Times New Roman"/>
                <w:sz w:val="20"/>
                <w:szCs w:val="20"/>
                <w:lang w:val="es-ES"/>
              </w:rPr>
              <w:t>Cooperativa Sula Batsú</w:t>
            </w:r>
          </w:p>
          <w:p w14:paraId="69075440" w14:textId="77777777" w:rsidR="007356D6" w:rsidRPr="00BB0B18" w:rsidRDefault="00D7602D">
            <w:pPr>
              <w:spacing w:before="240"/>
              <w:rPr>
                <w:rFonts w:ascii="Times New Roman" w:eastAsia="Times New Roman" w:hAnsi="Times New Roman" w:cs="Times New Roman"/>
                <w:sz w:val="20"/>
                <w:szCs w:val="20"/>
                <w:lang w:val="es-ES"/>
              </w:rPr>
            </w:pPr>
            <w:r w:rsidRPr="00BB0B18">
              <w:rPr>
                <w:rFonts w:ascii="Times New Roman" w:eastAsia="Times New Roman" w:hAnsi="Times New Roman" w:cs="Times New Roman"/>
                <w:sz w:val="20"/>
                <w:szCs w:val="20"/>
                <w:lang w:val="es-ES"/>
              </w:rPr>
              <w:t>Redes por la Diversidad, Equidad y Sustentabilidad A.C.</w:t>
            </w:r>
          </w:p>
          <w:p w14:paraId="59380F76"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Rhizomática</w:t>
            </w:r>
          </w:p>
        </w:tc>
      </w:tr>
      <w:tr w:rsidR="007356D6" w14:paraId="6E27C95C" w14:textId="77777777">
        <w:trPr>
          <w:trHeight w:val="735"/>
        </w:trPr>
        <w:tc>
          <w:tcPr>
            <w:tcW w:w="20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2B09073"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275" w:type="dxa"/>
            <w:tcBorders>
              <w:top w:val="nil"/>
              <w:left w:val="nil"/>
              <w:bottom w:val="single" w:sz="5" w:space="0" w:color="000000"/>
              <w:right w:val="single" w:sz="5" w:space="0" w:color="000000"/>
            </w:tcBorders>
            <w:tcMar>
              <w:top w:w="0" w:type="dxa"/>
              <w:left w:w="100" w:type="dxa"/>
              <w:bottom w:w="0" w:type="dxa"/>
              <w:right w:w="100" w:type="dxa"/>
            </w:tcMar>
          </w:tcPr>
          <w:p w14:paraId="6AA2446C"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Insufficient technical and organizational capacity building for establishing and sustaining community-centered connectivity and communication own projects in rural and indigenous communities in Central America.</w:t>
            </w:r>
          </w:p>
        </w:tc>
      </w:tr>
      <w:tr w:rsidR="007356D6" w14:paraId="603CE5F7" w14:textId="77777777">
        <w:trPr>
          <w:trHeight w:val="975"/>
        </w:trPr>
        <w:tc>
          <w:tcPr>
            <w:tcW w:w="20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764BE5E"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Which were the actions taken to address the </w:t>
            </w:r>
            <w:r>
              <w:rPr>
                <w:rFonts w:ascii="Times New Roman" w:eastAsia="Times New Roman" w:hAnsi="Times New Roman" w:cs="Times New Roman"/>
                <w:b/>
                <w:sz w:val="20"/>
                <w:szCs w:val="20"/>
              </w:rPr>
              <w:t>problem(s)?</w:t>
            </w:r>
          </w:p>
        </w:tc>
        <w:tc>
          <w:tcPr>
            <w:tcW w:w="7275" w:type="dxa"/>
            <w:tcBorders>
              <w:top w:val="nil"/>
              <w:left w:val="nil"/>
              <w:bottom w:val="single" w:sz="5" w:space="0" w:color="000000"/>
              <w:right w:val="single" w:sz="5" w:space="0" w:color="000000"/>
            </w:tcBorders>
            <w:tcMar>
              <w:top w:w="0" w:type="dxa"/>
              <w:left w:w="100" w:type="dxa"/>
              <w:bottom w:w="0" w:type="dxa"/>
              <w:right w:w="100" w:type="dxa"/>
            </w:tcMar>
          </w:tcPr>
          <w:p w14:paraId="3EE7DE03"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Development of a training program for capacity building in rural and indigenous communities in Central America, focusing on sustaining community-centered connectivity efforts and advocating for the necessary regulatory changes for their recognition.</w:t>
            </w:r>
          </w:p>
        </w:tc>
      </w:tr>
      <w:tr w:rsidR="007356D6" w14:paraId="4CCA28EC" w14:textId="77777777">
        <w:trPr>
          <w:trHeight w:val="6780"/>
        </w:trPr>
        <w:tc>
          <w:tcPr>
            <w:tcW w:w="20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B4F1C82"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w:t>
            </w:r>
            <w:r>
              <w:rPr>
                <w:rFonts w:ascii="Times New Roman" w:eastAsia="Times New Roman" w:hAnsi="Times New Roman" w:cs="Times New Roman"/>
                <w:b/>
                <w:sz w:val="20"/>
                <w:szCs w:val="20"/>
              </w:rPr>
              <w:t>ts / Impact / Lessons learned (what worked / remaining challenges)</w:t>
            </w:r>
          </w:p>
        </w:tc>
        <w:tc>
          <w:tcPr>
            <w:tcW w:w="7275" w:type="dxa"/>
            <w:tcBorders>
              <w:top w:val="nil"/>
              <w:left w:val="nil"/>
              <w:bottom w:val="single" w:sz="5" w:space="0" w:color="000000"/>
              <w:right w:val="single" w:sz="5" w:space="0" w:color="000000"/>
            </w:tcBorders>
            <w:tcMar>
              <w:top w:w="0" w:type="dxa"/>
              <w:left w:w="100" w:type="dxa"/>
              <w:bottom w:w="0" w:type="dxa"/>
              <w:right w:w="100" w:type="dxa"/>
            </w:tcMar>
          </w:tcPr>
          <w:p w14:paraId="450570A8"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Results:</w:t>
            </w:r>
          </w:p>
          <w:p w14:paraId="7CBFB72B" w14:textId="77777777" w:rsidR="007356D6" w:rsidRDefault="00D7602D">
            <w:pPr>
              <w:numPr>
                <w:ilvl w:val="0"/>
                <w:numId w:val="21"/>
              </w:numPr>
            </w:pPr>
            <w:r>
              <w:rPr>
                <w:rFonts w:ascii="Times New Roman" w:eastAsia="Times New Roman" w:hAnsi="Times New Roman" w:cs="Times New Roman"/>
                <w:sz w:val="20"/>
                <w:szCs w:val="20"/>
              </w:rPr>
              <w:t>Completion of four in-person modules focused on community communication, electricity, community networks, participatory content creation, broadcasting, and sustainability, held in</w:t>
            </w:r>
            <w:r>
              <w:rPr>
                <w:rFonts w:ascii="Times New Roman" w:eastAsia="Times New Roman" w:hAnsi="Times New Roman" w:cs="Times New Roman"/>
                <w:sz w:val="20"/>
                <w:szCs w:val="20"/>
              </w:rPr>
              <w:t xml:space="preserve"> El Salvador, Guatemala, Costa Rica, and Belize.</w:t>
            </w:r>
          </w:p>
          <w:p w14:paraId="61E2DA2A" w14:textId="77777777" w:rsidR="007356D6" w:rsidRDefault="00D7602D">
            <w:pPr>
              <w:numPr>
                <w:ilvl w:val="0"/>
                <w:numId w:val="21"/>
              </w:numPr>
              <w:spacing w:after="240"/>
            </w:pPr>
            <w:r>
              <w:rPr>
                <w:rFonts w:ascii="Times New Roman" w:eastAsia="Times New Roman" w:hAnsi="Times New Roman" w:cs="Times New Roman"/>
                <w:sz w:val="20"/>
                <w:szCs w:val="20"/>
              </w:rPr>
              <w:t>Culmination of three virtual sessions focusing on the themes: legal framework and self-determination of indigenous peoples, digital security and critical vision of social networks.</w:t>
            </w:r>
          </w:p>
          <w:p w14:paraId="56D86CAD"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Impact:</w:t>
            </w:r>
          </w:p>
          <w:p w14:paraId="47CE0682" w14:textId="77777777" w:rsidR="007356D6" w:rsidRDefault="00D7602D">
            <w:pPr>
              <w:numPr>
                <w:ilvl w:val="0"/>
                <w:numId w:val="44"/>
              </w:numPr>
            </w:pPr>
            <w:r>
              <w:rPr>
                <w:rFonts w:ascii="Times New Roman" w:eastAsia="Times New Roman" w:hAnsi="Times New Roman" w:cs="Times New Roman"/>
                <w:sz w:val="20"/>
                <w:szCs w:val="20"/>
              </w:rPr>
              <w:t>Strengthening a n</w:t>
            </w:r>
            <w:r>
              <w:rPr>
                <w:rFonts w:ascii="Times New Roman" w:eastAsia="Times New Roman" w:hAnsi="Times New Roman" w:cs="Times New Roman"/>
                <w:sz w:val="20"/>
                <w:szCs w:val="20"/>
              </w:rPr>
              <w:t>etwork of individuals, organisations and collectives working to strengthen community-centred connectivity projects in Central America.</w:t>
            </w:r>
          </w:p>
          <w:p w14:paraId="45DC8504" w14:textId="77777777" w:rsidR="007356D6" w:rsidRDefault="00D7602D">
            <w:pPr>
              <w:numPr>
                <w:ilvl w:val="0"/>
                <w:numId w:val="44"/>
              </w:numPr>
            </w:pPr>
            <w:r>
              <w:rPr>
                <w:rFonts w:ascii="Times New Roman" w:eastAsia="Times New Roman" w:hAnsi="Times New Roman" w:cs="Times New Roman"/>
                <w:sz w:val="20"/>
                <w:szCs w:val="20"/>
              </w:rPr>
              <w:t>Visibilisation of issues and challenges for community-centred connectivity and communication projects by indigenous commu</w:t>
            </w:r>
            <w:r>
              <w:rPr>
                <w:rFonts w:ascii="Times New Roman" w:eastAsia="Times New Roman" w:hAnsi="Times New Roman" w:cs="Times New Roman"/>
                <w:sz w:val="20"/>
                <w:szCs w:val="20"/>
              </w:rPr>
              <w:t>nities in Central America.</w:t>
            </w:r>
          </w:p>
          <w:p w14:paraId="37E7B17C" w14:textId="77777777" w:rsidR="007356D6" w:rsidRDefault="00D7602D">
            <w:pPr>
              <w:numPr>
                <w:ilvl w:val="0"/>
                <w:numId w:val="44"/>
              </w:numPr>
              <w:spacing w:after="240"/>
            </w:pPr>
            <w:r>
              <w:rPr>
                <w:rFonts w:ascii="Times New Roman" w:eastAsia="Times New Roman" w:hAnsi="Times New Roman" w:cs="Times New Roman"/>
                <w:sz w:val="20"/>
                <w:szCs w:val="20"/>
              </w:rPr>
              <w:t>Generate alliances for the transformation of regulatory frameworks to facilitate the creation of community-centred communication and connectivity projects.</w:t>
            </w:r>
          </w:p>
          <w:p w14:paraId="4E90C361"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Lessons learned:</w:t>
            </w:r>
          </w:p>
          <w:p w14:paraId="22A43835" w14:textId="77777777" w:rsidR="007356D6" w:rsidRDefault="00D7602D">
            <w:pPr>
              <w:numPr>
                <w:ilvl w:val="0"/>
                <w:numId w:val="43"/>
              </w:numPr>
            </w:pPr>
            <w:r>
              <w:rPr>
                <w:rFonts w:ascii="Times New Roman" w:eastAsia="Times New Roman" w:hAnsi="Times New Roman" w:cs="Times New Roman"/>
                <w:sz w:val="20"/>
                <w:szCs w:val="20"/>
              </w:rPr>
              <w:t>The importance of generating processes of encounter and capacity building with indigenous communities in Central America.</w:t>
            </w:r>
          </w:p>
          <w:p w14:paraId="110D062C" w14:textId="77777777" w:rsidR="007356D6" w:rsidRDefault="00D7602D">
            <w:pPr>
              <w:numPr>
                <w:ilvl w:val="0"/>
                <w:numId w:val="43"/>
              </w:numPr>
            </w:pPr>
            <w:r>
              <w:rPr>
                <w:rFonts w:ascii="Times New Roman" w:eastAsia="Times New Roman" w:hAnsi="Times New Roman" w:cs="Times New Roman"/>
                <w:sz w:val="20"/>
                <w:szCs w:val="20"/>
              </w:rPr>
              <w:t>Major challenges in Central America in terms of regulation and policy, almost entirely designed for large companies.</w:t>
            </w:r>
          </w:p>
          <w:p w14:paraId="3BB29350" w14:textId="77777777" w:rsidR="007356D6" w:rsidRDefault="00D7602D">
            <w:pPr>
              <w:numPr>
                <w:ilvl w:val="0"/>
                <w:numId w:val="43"/>
              </w:numPr>
              <w:spacing w:after="240"/>
            </w:pPr>
            <w:r>
              <w:rPr>
                <w:rFonts w:ascii="Times New Roman" w:eastAsia="Times New Roman" w:hAnsi="Times New Roman" w:cs="Times New Roman"/>
                <w:sz w:val="20"/>
                <w:szCs w:val="20"/>
              </w:rPr>
              <w:t>Challenges in ter</w:t>
            </w:r>
            <w:r>
              <w:rPr>
                <w:rFonts w:ascii="Times New Roman" w:eastAsia="Times New Roman" w:hAnsi="Times New Roman" w:cs="Times New Roman"/>
                <w:sz w:val="20"/>
                <w:szCs w:val="20"/>
              </w:rPr>
              <w:t>ms of infrastructure in order to have better connectivity conditions in rural and indigenous communities.</w:t>
            </w:r>
          </w:p>
        </w:tc>
      </w:tr>
    </w:tbl>
    <w:p w14:paraId="0290BCCE" w14:textId="77777777" w:rsidR="007356D6" w:rsidRDefault="00D7602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A7E0DD" w14:textId="77777777" w:rsidR="007356D6" w:rsidRDefault="007356D6">
      <w:pPr>
        <w:spacing w:before="240" w:after="240"/>
        <w:rPr>
          <w:rFonts w:ascii="Times New Roman" w:eastAsia="Times New Roman" w:hAnsi="Times New Roman" w:cs="Times New Roman"/>
          <w:sz w:val="24"/>
          <w:szCs w:val="24"/>
        </w:rPr>
      </w:pPr>
    </w:p>
    <w:p w14:paraId="146A3058" w14:textId="77777777" w:rsidR="007356D6" w:rsidRDefault="00D7602D">
      <w:pPr>
        <w:pStyle w:val="Heading3"/>
        <w:numPr>
          <w:ilvl w:val="2"/>
          <w:numId w:val="56"/>
        </w:numPr>
      </w:pPr>
      <w:bookmarkStart w:id="34" w:name="_j9ndsj3vgrlp" w:colFirst="0" w:colLast="0"/>
      <w:bookmarkEnd w:id="34"/>
      <w:r>
        <w:rPr>
          <w:rFonts w:ascii="Times New Roman" w:eastAsia="Times New Roman" w:hAnsi="Times New Roman" w:cs="Times New Roman"/>
          <w:color w:val="38761D"/>
        </w:rPr>
        <w:t>Monitoring of the implementation of best practices experiences identified in 2023 and in previous years</w:t>
      </w:r>
    </w:p>
    <w:p w14:paraId="48CD50F6" w14:textId="77777777" w:rsidR="007356D6" w:rsidRDefault="00D760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subsection aims to showcase the development, successes and challenges faced by the good practices identified in previous reports. The focal point of each case was directly contacted to provide information via a standard form as seen below.</w:t>
      </w:r>
    </w:p>
    <w:p w14:paraId="07A7D662" w14:textId="77777777" w:rsidR="007356D6" w:rsidRDefault="007356D6">
      <w:pPr>
        <w:spacing w:after="240"/>
        <w:jc w:val="both"/>
        <w:rPr>
          <w:rFonts w:ascii="Times New Roman" w:eastAsia="Times New Roman" w:hAnsi="Times New Roman" w:cs="Times New Roman"/>
          <w:b/>
          <w:sz w:val="24"/>
          <w:szCs w:val="24"/>
        </w:rPr>
      </w:pPr>
    </w:p>
    <w:p w14:paraId="4CD823B3" w14:textId="77777777" w:rsidR="007356D6" w:rsidRDefault="00D7602D">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selec</w:t>
      </w:r>
      <w:r>
        <w:rPr>
          <w:rFonts w:ascii="Times New Roman" w:eastAsia="Times New Roman" w:hAnsi="Times New Roman" w:cs="Times New Roman"/>
          <w:b/>
          <w:sz w:val="24"/>
          <w:szCs w:val="24"/>
        </w:rPr>
        <w:t xml:space="preserve">ted cases: </w:t>
      </w:r>
    </w:p>
    <w:p w14:paraId="1ADE696A" w14:textId="77777777" w:rsidR="007356D6" w:rsidRDefault="007356D6">
      <w:pPr>
        <w:spacing w:after="240"/>
        <w:jc w:val="both"/>
        <w:rPr>
          <w:rFonts w:ascii="Times New Roman" w:eastAsia="Times New Roman" w:hAnsi="Times New Roman" w:cs="Times New Roman"/>
          <w:b/>
          <w:sz w:val="24"/>
          <w:szCs w:val="24"/>
        </w:rPr>
      </w:pPr>
    </w:p>
    <w:tbl>
      <w:tblPr>
        <w:tblStyle w:val="afe"/>
        <w:tblW w:w="9630" w:type="dxa"/>
        <w:tblBorders>
          <w:top w:val="nil"/>
          <w:left w:val="nil"/>
          <w:bottom w:val="nil"/>
          <w:right w:val="nil"/>
          <w:insideH w:val="nil"/>
          <w:insideV w:val="nil"/>
        </w:tblBorders>
        <w:tblLayout w:type="fixed"/>
        <w:tblLook w:val="0600" w:firstRow="0" w:lastRow="0" w:firstColumn="0" w:lastColumn="0" w:noHBand="1" w:noVBand="1"/>
      </w:tblPr>
      <w:tblGrid>
        <w:gridCol w:w="2595"/>
        <w:gridCol w:w="7035"/>
      </w:tblGrid>
      <w:tr w:rsidR="007356D6" w14:paraId="4693CDF1" w14:textId="77777777">
        <w:trPr>
          <w:trHeight w:val="816"/>
        </w:trPr>
        <w:tc>
          <w:tcPr>
            <w:tcW w:w="2595" w:type="dxa"/>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617EC3C0"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CD01:</w:t>
            </w:r>
          </w:p>
        </w:tc>
        <w:tc>
          <w:tcPr>
            <w:tcW w:w="7035" w:type="dxa"/>
            <w:tcBorders>
              <w:top w:val="single" w:sz="5" w:space="0" w:color="000000"/>
              <w:left w:val="nil"/>
              <w:bottom w:val="single" w:sz="5" w:space="0" w:color="000000"/>
              <w:right w:val="single" w:sz="5" w:space="0" w:color="000000"/>
            </w:tcBorders>
            <w:shd w:val="clear" w:color="auto" w:fill="CFE2F3"/>
            <w:tcMar>
              <w:top w:w="100" w:type="dxa"/>
              <w:left w:w="100" w:type="dxa"/>
              <w:bottom w:w="100" w:type="dxa"/>
              <w:right w:w="100" w:type="dxa"/>
            </w:tcMar>
          </w:tcPr>
          <w:p w14:paraId="57287816" w14:textId="77777777" w:rsidR="007356D6" w:rsidRDefault="00D7602D">
            <w:pPr>
              <w:spacing w:before="240" w:after="240"/>
              <w:ind w:left="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 Savvy Libraries</w:t>
            </w:r>
          </w:p>
        </w:tc>
      </w:tr>
      <w:tr w:rsidR="007356D6" w14:paraId="5B04B45B" w14:textId="77777777">
        <w:trPr>
          <w:trHeight w:val="690"/>
        </w:trPr>
        <w:tc>
          <w:tcPr>
            <w:tcW w:w="2595" w:type="dxa"/>
            <w:tcBorders>
              <w:top w:val="nil"/>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14:paraId="2F506A3F"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Presented at the 2023 PNMA Plenary Session:</w:t>
            </w:r>
          </w:p>
        </w:tc>
        <w:tc>
          <w:tcPr>
            <w:tcW w:w="7035" w:type="dxa"/>
            <w:tcBorders>
              <w:top w:val="nil"/>
              <w:left w:val="nil"/>
              <w:bottom w:val="single" w:sz="5" w:space="0" w:color="000000"/>
              <w:right w:val="single" w:sz="5" w:space="0" w:color="000000"/>
            </w:tcBorders>
            <w:shd w:val="clear" w:color="auto" w:fill="DBE5F1"/>
            <w:tcMar>
              <w:top w:w="100" w:type="dxa"/>
              <w:left w:w="100" w:type="dxa"/>
              <w:bottom w:w="100" w:type="dxa"/>
              <w:right w:w="100" w:type="dxa"/>
            </w:tcMar>
          </w:tcPr>
          <w:p w14:paraId="3B08C89B"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r>
      <w:tr w:rsidR="007356D6" w14:paraId="54940341" w14:textId="77777777">
        <w:trPr>
          <w:trHeight w:val="450"/>
        </w:trPr>
        <w:tc>
          <w:tcPr>
            <w:tcW w:w="259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E87DCED"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035" w:type="dxa"/>
            <w:tcBorders>
              <w:top w:val="nil"/>
              <w:left w:val="nil"/>
              <w:bottom w:val="single" w:sz="5" w:space="0" w:color="000000"/>
              <w:right w:val="single" w:sz="5" w:space="0" w:color="000000"/>
            </w:tcBorders>
            <w:tcMar>
              <w:top w:w="100" w:type="dxa"/>
              <w:left w:w="100" w:type="dxa"/>
              <w:bottom w:w="100" w:type="dxa"/>
              <w:right w:w="100" w:type="dxa"/>
            </w:tcMar>
          </w:tcPr>
          <w:p w14:paraId="1D335015"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Uganda (various locations)</w:t>
            </w:r>
          </w:p>
        </w:tc>
      </w:tr>
      <w:tr w:rsidR="007356D6" w14:paraId="6F7837E4" w14:textId="77777777">
        <w:trPr>
          <w:trHeight w:val="690"/>
        </w:trPr>
        <w:tc>
          <w:tcPr>
            <w:tcW w:w="259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D4DB558"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035" w:type="dxa"/>
            <w:tcBorders>
              <w:top w:val="nil"/>
              <w:left w:val="nil"/>
              <w:bottom w:val="single" w:sz="5" w:space="0" w:color="000000"/>
              <w:right w:val="single" w:sz="5" w:space="0" w:color="000000"/>
            </w:tcBorders>
            <w:tcMar>
              <w:top w:w="100" w:type="dxa"/>
              <w:left w:w="100" w:type="dxa"/>
              <w:bottom w:w="100" w:type="dxa"/>
              <w:right w:w="100" w:type="dxa"/>
            </w:tcMar>
          </w:tcPr>
          <w:p w14:paraId="3932DDEA" w14:textId="77777777" w:rsidR="007356D6" w:rsidRDefault="00D7602D">
            <w:pPr>
              <w:spacing w:before="240" w:after="240"/>
              <w:ind w:left="20"/>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Uganda Communications Commission, Enabel, private sector (Absa Bank Uganda, Airtel Uganda, MTN Foundation)</w:t>
            </w:r>
          </w:p>
        </w:tc>
      </w:tr>
      <w:tr w:rsidR="007356D6" w14:paraId="05FBB1DE" w14:textId="77777777">
        <w:trPr>
          <w:trHeight w:val="690"/>
        </w:trPr>
        <w:tc>
          <w:tcPr>
            <w:tcW w:w="259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2051684"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035" w:type="dxa"/>
            <w:tcBorders>
              <w:top w:val="nil"/>
              <w:left w:val="nil"/>
              <w:bottom w:val="single" w:sz="5" w:space="0" w:color="000000"/>
              <w:right w:val="single" w:sz="5" w:space="0" w:color="000000"/>
            </w:tcBorders>
            <w:tcMar>
              <w:top w:w="100" w:type="dxa"/>
              <w:left w:w="100" w:type="dxa"/>
              <w:bottom w:w="100" w:type="dxa"/>
              <w:right w:w="100" w:type="dxa"/>
            </w:tcMar>
          </w:tcPr>
          <w:p w14:paraId="483DCD59" w14:textId="77777777" w:rsidR="007356D6" w:rsidRDefault="00D7602D">
            <w:pPr>
              <w:spacing w:before="240" w:after="240"/>
              <w:ind w:left="20"/>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Uganda Communications Commission, Electronic Information for Libraries, National Library of Uganda (NLU), Maendoleo Foundation, Peer 2 Peer University</w:t>
            </w:r>
          </w:p>
        </w:tc>
      </w:tr>
      <w:tr w:rsidR="007356D6" w14:paraId="0E1A40FC" w14:textId="77777777">
        <w:trPr>
          <w:trHeight w:val="1890"/>
        </w:trPr>
        <w:tc>
          <w:tcPr>
            <w:tcW w:w="259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3E33FA8"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035" w:type="dxa"/>
            <w:tcBorders>
              <w:top w:val="nil"/>
              <w:left w:val="nil"/>
              <w:bottom w:val="single" w:sz="5" w:space="0" w:color="000000"/>
              <w:right w:val="single" w:sz="5" w:space="0" w:color="000000"/>
            </w:tcBorders>
            <w:tcMar>
              <w:top w:w="100" w:type="dxa"/>
              <w:left w:w="100" w:type="dxa"/>
              <w:bottom w:w="100" w:type="dxa"/>
              <w:right w:w="100" w:type="dxa"/>
            </w:tcMar>
          </w:tcPr>
          <w:p w14:paraId="600DD7BC" w14:textId="77777777" w:rsidR="007356D6" w:rsidRDefault="00D7602D">
            <w:pPr>
              <w:spacing w:before="240" w:after="240"/>
              <w:ind w:left="20"/>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While many libraries in Uganda are no</w:t>
            </w:r>
            <w:r>
              <w:rPr>
                <w:rFonts w:ascii="Times New Roman" w:eastAsia="Times New Roman" w:hAnsi="Times New Roman" w:cs="Times New Roman"/>
                <w:color w:val="212529"/>
                <w:sz w:val="20"/>
                <w:szCs w:val="20"/>
              </w:rPr>
              <w:t>w connected, it is important to match this with efforts to build the skills of librarians and other library and information workers to realise the full potential of connectivity to deliver development outcomes  - including both skills in using the internet</w:t>
            </w:r>
            <w:r>
              <w:rPr>
                <w:rFonts w:ascii="Times New Roman" w:eastAsia="Times New Roman" w:hAnsi="Times New Roman" w:cs="Times New Roman"/>
                <w:color w:val="212529"/>
                <w:sz w:val="20"/>
                <w:szCs w:val="20"/>
              </w:rPr>
              <w:t>, but also roles in outreach to communities as a whole, in order to address the challenges faced by vulnerable women and youth. Particular challenges include low or under-employment and poor school performance.</w:t>
            </w:r>
          </w:p>
        </w:tc>
      </w:tr>
      <w:tr w:rsidR="007356D6" w14:paraId="25E3FD19" w14:textId="77777777">
        <w:trPr>
          <w:trHeight w:val="3810"/>
        </w:trPr>
        <w:tc>
          <w:tcPr>
            <w:tcW w:w="259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03BB66D"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Which were the actions taken to address the problem(s)?</w:t>
            </w:r>
          </w:p>
        </w:tc>
        <w:tc>
          <w:tcPr>
            <w:tcW w:w="7035" w:type="dxa"/>
            <w:tcBorders>
              <w:top w:val="nil"/>
              <w:left w:val="nil"/>
              <w:bottom w:val="single" w:sz="5" w:space="0" w:color="000000"/>
              <w:right w:val="single" w:sz="5" w:space="0" w:color="000000"/>
            </w:tcBorders>
            <w:tcMar>
              <w:top w:w="100" w:type="dxa"/>
              <w:left w:w="100" w:type="dxa"/>
              <w:bottom w:w="100" w:type="dxa"/>
              <w:right w:w="100" w:type="dxa"/>
            </w:tcMar>
          </w:tcPr>
          <w:p w14:paraId="2DD233E3" w14:textId="77777777" w:rsidR="007356D6" w:rsidRDefault="00D7602D">
            <w:pPr>
              <w:spacing w:before="240" w:after="240"/>
              <w:ind w:left="20"/>
              <w:jc w:val="both"/>
              <w:rPr>
                <w:rFonts w:ascii="Times New Roman" w:eastAsia="Times New Roman" w:hAnsi="Times New Roman" w:cs="Times New Roman"/>
                <w:color w:val="212529"/>
                <w:sz w:val="20"/>
                <w:szCs w:val="20"/>
              </w:rPr>
            </w:pPr>
            <w:r>
              <w:rPr>
                <w:rFonts w:ascii="Times New Roman" w:eastAsia="Times New Roman" w:hAnsi="Times New Roman" w:cs="Times New Roman"/>
                <w:sz w:val="20"/>
                <w:szCs w:val="20"/>
              </w:rPr>
              <w:t>Since 2014, IFLA has partnered with the NLU to</w:t>
            </w:r>
            <w:hyperlink r:id="rId34">
              <w:r>
                <w:rPr>
                  <w:rFonts w:ascii="Times New Roman" w:eastAsia="Times New Roman" w:hAnsi="Times New Roman" w:cs="Times New Roman"/>
                  <w:sz w:val="20"/>
                  <w:szCs w:val="20"/>
                </w:rPr>
                <w:t xml:space="preserve"> </w:t>
              </w:r>
            </w:hyperlink>
            <w:hyperlink r:id="rId35">
              <w:r>
                <w:rPr>
                  <w:rFonts w:ascii="Times New Roman" w:eastAsia="Times New Roman" w:hAnsi="Times New Roman" w:cs="Times New Roman"/>
                  <w:color w:val="1155CC"/>
                  <w:sz w:val="20"/>
                  <w:szCs w:val="20"/>
                </w:rPr>
                <w:t>build the capacity of public librarians in Uganda</w:t>
              </w:r>
            </w:hyperlink>
            <w:r>
              <w:rPr>
                <w:rFonts w:ascii="Times New Roman" w:eastAsia="Times New Roman" w:hAnsi="Times New Roman" w:cs="Times New Roman"/>
                <w:sz w:val="20"/>
                <w:szCs w:val="20"/>
              </w:rPr>
              <w:t xml:space="preserve"> to use ICT in innovative services, and especially to offer ICT training in their communities. </w:t>
            </w:r>
            <w:r>
              <w:rPr>
                <w:rFonts w:ascii="Times New Roman" w:eastAsia="Times New Roman" w:hAnsi="Times New Roman" w:cs="Times New Roman"/>
                <w:color w:val="212529"/>
                <w:sz w:val="20"/>
                <w:szCs w:val="20"/>
              </w:rPr>
              <w:t>Building on a programme of training librarians in how to train people</w:t>
            </w:r>
            <w:r>
              <w:rPr>
                <w:rFonts w:ascii="Times New Roman" w:eastAsia="Times New Roman" w:hAnsi="Times New Roman" w:cs="Times New Roman"/>
                <w:color w:val="212529"/>
                <w:sz w:val="20"/>
                <w:szCs w:val="20"/>
              </w:rPr>
              <w:t xml:space="preserve"> to use computers and make the most of them to improve their lives, the librarians carried out an outreach campaign, focused on women and youth but also open to others. They then designed classes and support programmes tailored to the community needs.</w:t>
            </w:r>
          </w:p>
          <w:p w14:paraId="741D5F75" w14:textId="77777777" w:rsidR="007356D6" w:rsidRDefault="00D7602D">
            <w:pPr>
              <w:shd w:val="clear" w:color="auto" w:fill="FFFFFF"/>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2</w:t>
            </w:r>
            <w:r>
              <w:rPr>
                <w:rFonts w:ascii="Times New Roman" w:eastAsia="Times New Roman" w:hAnsi="Times New Roman" w:cs="Times New Roman"/>
                <w:sz w:val="20"/>
                <w:szCs w:val="20"/>
              </w:rPr>
              <w:t>021 we expanded our work in Uganda with grant funding from the Wehubit Programme implemented by the Belgian development agency, Enabel, which is ending in the middle of 2023. The “</w:t>
            </w:r>
            <w:hyperlink r:id="rId36">
              <w:r>
                <w:rPr>
                  <w:rFonts w:ascii="Times New Roman" w:eastAsia="Times New Roman" w:hAnsi="Times New Roman" w:cs="Times New Roman"/>
                  <w:sz w:val="20"/>
                  <w:szCs w:val="20"/>
                </w:rPr>
                <w:t>Digital skills and inclusion through libraries in Uganda</w:t>
              </w:r>
            </w:hyperlink>
            <w:r>
              <w:rPr>
                <w:rFonts w:ascii="Times New Roman" w:eastAsia="Times New Roman" w:hAnsi="Times New Roman" w:cs="Times New Roman"/>
                <w:sz w:val="20"/>
                <w:szCs w:val="20"/>
              </w:rPr>
              <w:t>” project built digital literacy and training skills of 50 librarians and volunteers at 27 public and community libraries, enabling them to provide ICT training in the</w:t>
            </w:r>
            <w:r>
              <w:rPr>
                <w:rFonts w:ascii="Times New Roman" w:eastAsia="Times New Roman" w:hAnsi="Times New Roman" w:cs="Times New Roman"/>
                <w:sz w:val="20"/>
                <w:szCs w:val="20"/>
              </w:rPr>
              <w:t>ir communities. The project is implemented in partnership with NLU, Maendeleo Foundation and Peer 2 Peer University.</w:t>
            </w:r>
          </w:p>
        </w:tc>
      </w:tr>
      <w:tr w:rsidR="007356D6" w14:paraId="7FD1463F" w14:textId="77777777">
        <w:trPr>
          <w:trHeight w:val="4410"/>
        </w:trPr>
        <w:tc>
          <w:tcPr>
            <w:tcW w:w="259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67169A5"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035" w:type="dxa"/>
            <w:tcBorders>
              <w:top w:val="nil"/>
              <w:left w:val="nil"/>
              <w:bottom w:val="single" w:sz="5" w:space="0" w:color="000000"/>
              <w:right w:val="single" w:sz="5" w:space="0" w:color="000000"/>
            </w:tcBorders>
            <w:tcMar>
              <w:top w:w="100" w:type="dxa"/>
              <w:left w:w="100" w:type="dxa"/>
              <w:bottom w:w="100" w:type="dxa"/>
              <w:right w:w="100" w:type="dxa"/>
            </w:tcMar>
          </w:tcPr>
          <w:p w14:paraId="37EEB64F" w14:textId="77777777" w:rsidR="007356D6" w:rsidRDefault="00D7602D">
            <w:pPr>
              <w:spacing w:before="240" w:after="240"/>
              <w:ind w:left="380" w:hanging="360"/>
              <w:jc w:val="both"/>
              <w:rPr>
                <w:rFonts w:ascii="Times New Roman" w:eastAsia="Times New Roman" w:hAnsi="Times New Roman" w:cs="Times New Roman"/>
                <w:color w:val="212529"/>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color w:val="212529"/>
                <w:sz w:val="20"/>
                <w:szCs w:val="20"/>
              </w:rPr>
              <w:t>Over 14,000 persons took part in courses.</w:t>
            </w:r>
          </w:p>
          <w:p w14:paraId="5BD4C698" w14:textId="77777777" w:rsidR="007356D6" w:rsidRDefault="00D7602D">
            <w:pPr>
              <w:spacing w:before="240" w:after="240"/>
              <w:ind w:left="380" w:hanging="360"/>
              <w:jc w:val="both"/>
              <w:rPr>
                <w:rFonts w:ascii="Times New Roman" w:eastAsia="Times New Roman" w:hAnsi="Times New Roman" w:cs="Times New Roman"/>
                <w:color w:val="212529"/>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color w:val="212529"/>
                <w:sz w:val="20"/>
                <w:szCs w:val="20"/>
              </w:rPr>
              <w:t>Over 1,000 women and youth were connected to useful free online courses, including covering entrepreneurial, technical, craft-making and other skills.</w:t>
            </w:r>
          </w:p>
          <w:p w14:paraId="0CD3A384" w14:textId="77777777" w:rsidR="007356D6" w:rsidRDefault="00D7602D">
            <w:pPr>
              <w:spacing w:before="240" w:after="240"/>
              <w:ind w:left="380" w:hanging="360"/>
              <w:jc w:val="both"/>
              <w:rPr>
                <w:rFonts w:ascii="Times New Roman" w:eastAsia="Times New Roman" w:hAnsi="Times New Roman" w:cs="Times New Roman"/>
                <w:color w:val="212529"/>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color w:val="212529"/>
                <w:sz w:val="20"/>
                <w:szCs w:val="20"/>
              </w:rPr>
              <w:t>Interestingly, there has also been a lot of take-up among health workers, local government officials, officials, police, market stall holders, teachers and students.</w:t>
            </w:r>
          </w:p>
          <w:p w14:paraId="2E34C0D1" w14:textId="77777777" w:rsidR="007356D6" w:rsidRDefault="00D7602D">
            <w:pPr>
              <w:spacing w:before="240" w:after="240"/>
              <w:ind w:left="380" w:hanging="360"/>
              <w:jc w:val="both"/>
              <w:rPr>
                <w:rFonts w:ascii="Times New Roman" w:eastAsia="Times New Roman" w:hAnsi="Times New Roman" w:cs="Times New Roman"/>
                <w:color w:val="212529"/>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color w:val="212529"/>
                <w:sz w:val="20"/>
                <w:szCs w:val="20"/>
              </w:rPr>
              <w:t>Participants have reported success in getting jobs, developing businesses, comple</w:t>
            </w:r>
            <w:r>
              <w:rPr>
                <w:rFonts w:ascii="Times New Roman" w:eastAsia="Times New Roman" w:hAnsi="Times New Roman" w:cs="Times New Roman"/>
                <w:color w:val="212529"/>
                <w:sz w:val="20"/>
                <w:szCs w:val="20"/>
              </w:rPr>
              <w:t>ting school, and being better able to support families and communities in general.</w:t>
            </w:r>
          </w:p>
          <w:p w14:paraId="38D5DECE" w14:textId="77777777" w:rsidR="007356D6" w:rsidRDefault="00D7602D">
            <w:pPr>
              <w:spacing w:before="240" w:after="240"/>
              <w:ind w:left="3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highlight w:val="white"/>
              </w:rPr>
              <w:t xml:space="preserve">Energetic library outreach campaigns have attracted thousands of vulnerable women and unemployed youth, many of whom had never used a computer before. In addition, </w:t>
            </w:r>
            <w:r>
              <w:rPr>
                <w:rFonts w:ascii="Times New Roman" w:eastAsia="Times New Roman" w:hAnsi="Times New Roman" w:cs="Times New Roman"/>
                <w:sz w:val="20"/>
                <w:szCs w:val="20"/>
                <w:highlight w:val="white"/>
              </w:rPr>
              <w:t>people from different walks of life - health workers, local government officials, police, market stallholders, teachers and students – are all queuing up to enroll.</w:t>
            </w:r>
          </w:p>
        </w:tc>
      </w:tr>
      <w:tr w:rsidR="007356D6" w14:paraId="5A85C359" w14:textId="77777777">
        <w:trPr>
          <w:trHeight w:val="450"/>
        </w:trPr>
        <w:tc>
          <w:tcPr>
            <w:tcW w:w="9630" w:type="dxa"/>
            <w:gridSpan w:val="2"/>
            <w:tcBorders>
              <w:top w:val="nil"/>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1A80CEAF" w14:textId="77777777" w:rsidR="007356D6" w:rsidRDefault="00D7602D">
            <w:pPr>
              <w:spacing w:before="240" w:after="240"/>
              <w:ind w:left="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 available</w:t>
            </w:r>
          </w:p>
        </w:tc>
      </w:tr>
      <w:tr w:rsidR="007356D6" w14:paraId="081473AB"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8A41AE0"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AA7F2A5" w14:textId="77777777" w:rsidR="007356D6" w:rsidRDefault="00D7602D">
            <w:pPr>
              <w:spacing w:before="240" w:after="240"/>
              <w:ind w:left="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 training is improving lives in communities across the country, as people apply their new skills to start small businesses, study and complete school projects, and find new jobs. Watch</w:t>
            </w:r>
            <w:hyperlink r:id="rId37">
              <w:r>
                <w:rPr>
                  <w:rFonts w:ascii="Times New Roman" w:eastAsia="Times New Roman" w:hAnsi="Times New Roman" w:cs="Times New Roman"/>
                  <w:sz w:val="20"/>
                  <w:szCs w:val="20"/>
                  <w:highlight w:val="white"/>
                </w:rPr>
                <w:t xml:space="preserve"> </w:t>
              </w:r>
            </w:hyperlink>
            <w:hyperlink r:id="rId38">
              <w:r>
                <w:rPr>
                  <w:rFonts w:ascii="Times New Roman" w:eastAsia="Times New Roman" w:hAnsi="Times New Roman" w:cs="Times New Roman"/>
                  <w:color w:val="0000FF"/>
                  <w:sz w:val="20"/>
                  <w:szCs w:val="20"/>
                  <w:highlight w:val="white"/>
                </w:rPr>
                <w:t>‘Now I have a job!’</w:t>
              </w:r>
            </w:hyperlink>
            <w:r>
              <w:rPr>
                <w:rFonts w:ascii="Times New Roman" w:eastAsia="Times New Roman" w:hAnsi="Times New Roman" w:cs="Times New Roman"/>
                <w:sz w:val="20"/>
                <w:szCs w:val="20"/>
                <w:highlight w:val="white"/>
              </w:rPr>
              <w:t xml:space="preserve"> with testimonies about how library ICT training is changing lives (EIFL, YouTube, 6 min).</w:t>
            </w:r>
          </w:p>
        </w:tc>
      </w:tr>
      <w:tr w:rsidR="007356D6" w14:paraId="4F71A522" w14:textId="77777777">
        <w:trPr>
          <w:trHeight w:val="93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3A624CA"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7DE1FAA"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6CFC7BEC"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5D8E42A"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2022 solutions still work to tackle the problem? New solutions needed to be developed?</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CB5FECA"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chosen solutions still prove effective today so no new solutions have been developed or adapted to the project</w:t>
            </w:r>
          </w:p>
        </w:tc>
      </w:tr>
      <w:tr w:rsidR="007356D6" w14:paraId="040D5ECF"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D2B0658"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localized to other regions?</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69F3050" w14:textId="77777777" w:rsidR="007356D6" w:rsidRDefault="00D7602D">
            <w:pPr>
              <w:spacing w:before="240" w:after="240"/>
              <w:ind w:left="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 April 2023 we welcomed the news that the Uganda Communications Commission (UCC) will be equipping 10 more public and community libraries with technology packages comprising 10 computers each, plus w</w:t>
            </w:r>
            <w:r>
              <w:rPr>
                <w:rFonts w:ascii="Times New Roman" w:eastAsia="Times New Roman" w:hAnsi="Times New Roman" w:cs="Times New Roman"/>
                <w:sz w:val="20"/>
                <w:szCs w:val="20"/>
                <w:highlight w:val="white"/>
              </w:rPr>
              <w:t>ireless internet, a printer, a scanner and a photocopier in 2023.</w:t>
            </w:r>
          </w:p>
        </w:tc>
      </w:tr>
      <w:tr w:rsidR="007356D6" w14:paraId="6C9D57B1" w14:textId="77777777">
        <w:trPr>
          <w:trHeight w:val="4395"/>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FFAD457"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4B0B65E" w14:textId="77777777" w:rsidR="007356D6" w:rsidRDefault="00D7602D">
            <w:pPr>
              <w:shd w:val="clear" w:color="auto" w:fill="FFFFFF"/>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libraries that will receive computers from the UCC in 2023 are:</w:t>
            </w:r>
          </w:p>
          <w:p w14:paraId="2A5106CC" w14:textId="77777777" w:rsidR="007356D6" w:rsidRDefault="00D7602D">
            <w:pPr>
              <w:shd w:val="clear" w:color="auto" w:fill="FFFFFF"/>
              <w:spacing w:before="240" w:after="240"/>
              <w:ind w:left="3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Center For Youth Driven Development Initiatives (CFYDDI) Community Library-Gayaza</w:t>
            </w:r>
          </w:p>
          <w:p w14:paraId="017E8100"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Florence Nightingale Community Library-Apac</w:t>
            </w:r>
          </w:p>
          <w:p w14:paraId="6D279C03"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Kitengesa Community Library</w:t>
            </w:r>
          </w:p>
          <w:p w14:paraId="23991614"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Marko Lukoya Community Library-Mukono</w:t>
            </w:r>
          </w:p>
          <w:p w14:paraId="42F0CD5D"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Mubende Public Library</w:t>
            </w:r>
          </w:p>
          <w:p w14:paraId="2B03494B"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Nagongera Public Library and Resource centre-Tororo</w:t>
            </w:r>
          </w:p>
          <w:p w14:paraId="381F9A4A"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Nyaka Aids Foundation Kanungu</w:t>
            </w:r>
          </w:p>
          <w:p w14:paraId="2F6ECCC5"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Nyarushaje Community Library</w:t>
            </w:r>
          </w:p>
          <w:p w14:paraId="48B26AC5"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Pakwach Publ</w:t>
            </w:r>
            <w:r>
              <w:rPr>
                <w:rFonts w:ascii="Times New Roman" w:eastAsia="Times New Roman" w:hAnsi="Times New Roman" w:cs="Times New Roman"/>
                <w:sz w:val="20"/>
                <w:szCs w:val="20"/>
              </w:rPr>
              <w:t>ic Library</w:t>
            </w:r>
          </w:p>
          <w:p w14:paraId="7FB6F329" w14:textId="77777777" w:rsidR="007356D6" w:rsidRDefault="00D7602D">
            <w:pPr>
              <w:numPr>
                <w:ilvl w:val="0"/>
                <w:numId w:val="48"/>
              </w:numPr>
              <w:shd w:val="clear" w:color="auto" w:fill="FFFFFF"/>
              <w:spacing w:after="240"/>
              <w:ind w:left="740"/>
              <w:jc w:val="both"/>
            </w:pPr>
            <w:r>
              <w:rPr>
                <w:rFonts w:ascii="Times New Roman" w:eastAsia="Times New Roman" w:hAnsi="Times New Roman" w:cs="Times New Roman"/>
                <w:sz w:val="20"/>
                <w:szCs w:val="20"/>
              </w:rPr>
              <w:t>Uganda Development Services Community Library-Kamuli</w:t>
            </w:r>
          </w:p>
          <w:p w14:paraId="289B65CE"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7356D6" w14:paraId="0DE10322" w14:textId="77777777">
        <w:trPr>
          <w:trHeight w:val="93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3A028E"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B80F919"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Adapting and installing the equipment to be received at the above-mentioned libraries. Also ensuring dissemination of the programme to attract youth and people who may be interested in joining</w:t>
            </w:r>
          </w:p>
        </w:tc>
      </w:tr>
      <w:tr w:rsidR="007356D6" w14:paraId="1D09C403" w14:textId="77777777">
        <w:trPr>
          <w:trHeight w:val="45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C41FB08"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A4826EA"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Assess possibilities for scaling it in other African regions</w:t>
            </w:r>
          </w:p>
        </w:tc>
      </w:tr>
      <w:tr w:rsidR="007356D6" w14:paraId="720D0E0C"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AB17B3D"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Quote:</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5D185F7"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“When this community programme came, I started going to the public library to use the new facilities and for computer training. Thanks to this training I obtained a job at Noyo City TV” - Nassaazi M.Joanita (Digital skills trainee at Kawempe Youth Centre C</w:t>
            </w:r>
            <w:r>
              <w:rPr>
                <w:rFonts w:ascii="Times New Roman" w:eastAsia="Times New Roman" w:hAnsi="Times New Roman" w:cs="Times New Roman"/>
                <w:sz w:val="20"/>
                <w:szCs w:val="20"/>
              </w:rPr>
              <w:t>ommunity Library)</w:t>
            </w:r>
          </w:p>
        </w:tc>
      </w:tr>
      <w:tr w:rsidR="007356D6" w14:paraId="431E62F5" w14:textId="77777777">
        <w:trPr>
          <w:trHeight w:val="1170"/>
        </w:trPr>
        <w:tc>
          <w:tcPr>
            <w:tcW w:w="963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9E0E0D6" w14:textId="77777777" w:rsidR="007356D6" w:rsidRDefault="00D7602D">
            <w:pPr>
              <w:spacing w:line="240" w:lineRule="auto"/>
              <w:jc w:val="center"/>
              <w:rPr>
                <w:b/>
              </w:rPr>
            </w:pPr>
            <w:r>
              <w:rPr>
                <w:b/>
              </w:rPr>
              <w:t xml:space="preserve">Follow-up for 2024 available on </w:t>
            </w:r>
            <w:r>
              <w:rPr>
                <w:b/>
                <w:highlight w:val="green"/>
              </w:rPr>
              <w:t>[write date]</w:t>
            </w:r>
          </w:p>
        </w:tc>
      </w:tr>
      <w:tr w:rsidR="007356D6" w14:paraId="0BE846D1"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FC73C8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Has the problem been solved?</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69D39F"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(partial, fully; include numbers when possible) </w:t>
            </w:r>
          </w:p>
        </w:tc>
      </w:tr>
      <w:tr w:rsidR="007356D6" w14:paraId="27E38D4D"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8F18169"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FE8FE9"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F584EDD"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FB08A8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BF48C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AEE1C66"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9D65A3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4EBE79"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8BEB07F"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C4330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E628F9"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62B451F5"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685E26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4AB953"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1C1BDCB3"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AB915A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813003"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64E0B24B"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3EE914C"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48FB62"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1B24E354" w14:textId="77777777" w:rsidR="007356D6" w:rsidRDefault="007356D6">
      <w:pPr>
        <w:spacing w:after="240"/>
        <w:jc w:val="both"/>
        <w:rPr>
          <w:rFonts w:ascii="Times New Roman" w:eastAsia="Times New Roman" w:hAnsi="Times New Roman" w:cs="Times New Roman"/>
          <w:b/>
          <w:sz w:val="24"/>
          <w:szCs w:val="24"/>
        </w:rPr>
      </w:pPr>
    </w:p>
    <w:p w14:paraId="7131DF8F" w14:textId="77777777" w:rsidR="007356D6" w:rsidRDefault="007356D6">
      <w:pPr>
        <w:spacing w:after="240"/>
        <w:jc w:val="both"/>
        <w:rPr>
          <w:rFonts w:ascii="Times New Roman" w:eastAsia="Times New Roman" w:hAnsi="Times New Roman" w:cs="Times New Roman"/>
          <w:b/>
          <w:sz w:val="24"/>
          <w:szCs w:val="24"/>
        </w:rPr>
      </w:pPr>
    </w:p>
    <w:p w14:paraId="215A6D2F" w14:textId="77777777" w:rsidR="007356D6" w:rsidRDefault="007356D6">
      <w:pPr>
        <w:spacing w:after="240"/>
        <w:jc w:val="both"/>
        <w:rPr>
          <w:rFonts w:ascii="Times New Roman" w:eastAsia="Times New Roman" w:hAnsi="Times New Roman" w:cs="Times New Roman"/>
          <w:b/>
          <w:sz w:val="24"/>
          <w:szCs w:val="24"/>
        </w:rPr>
      </w:pPr>
    </w:p>
    <w:p w14:paraId="251B5DD9" w14:textId="77777777" w:rsidR="007356D6" w:rsidRDefault="007356D6">
      <w:pPr>
        <w:spacing w:after="240"/>
        <w:jc w:val="both"/>
        <w:rPr>
          <w:rFonts w:ascii="Times New Roman" w:eastAsia="Times New Roman" w:hAnsi="Times New Roman" w:cs="Times New Roman"/>
          <w:b/>
          <w:sz w:val="24"/>
          <w:szCs w:val="24"/>
        </w:rPr>
      </w:pPr>
    </w:p>
    <w:p w14:paraId="25EC0308" w14:textId="77777777" w:rsidR="007356D6" w:rsidRDefault="007356D6">
      <w:pPr>
        <w:spacing w:after="240"/>
        <w:jc w:val="both"/>
        <w:rPr>
          <w:rFonts w:ascii="Times New Roman" w:eastAsia="Times New Roman" w:hAnsi="Times New Roman" w:cs="Times New Roman"/>
          <w:b/>
          <w:sz w:val="24"/>
          <w:szCs w:val="24"/>
        </w:rPr>
      </w:pPr>
    </w:p>
    <w:p w14:paraId="6A3D2265" w14:textId="77777777" w:rsidR="007356D6" w:rsidRDefault="007356D6">
      <w:pPr>
        <w:spacing w:after="240"/>
        <w:jc w:val="both"/>
        <w:rPr>
          <w:rFonts w:ascii="Times New Roman" w:eastAsia="Times New Roman" w:hAnsi="Times New Roman" w:cs="Times New Roman"/>
          <w:b/>
          <w:sz w:val="24"/>
          <w:szCs w:val="24"/>
        </w:rPr>
      </w:pPr>
    </w:p>
    <w:p w14:paraId="465D6A63" w14:textId="77777777" w:rsidR="007356D6" w:rsidRDefault="007356D6">
      <w:pPr>
        <w:spacing w:after="240"/>
        <w:jc w:val="both"/>
        <w:rPr>
          <w:rFonts w:ascii="Times New Roman" w:eastAsia="Times New Roman" w:hAnsi="Times New Roman" w:cs="Times New Roman"/>
          <w:b/>
          <w:sz w:val="24"/>
          <w:szCs w:val="24"/>
        </w:rPr>
      </w:pPr>
    </w:p>
    <w:tbl>
      <w:tblPr>
        <w:tblStyle w:val="aff"/>
        <w:tblW w:w="9645" w:type="dxa"/>
        <w:tblBorders>
          <w:top w:val="nil"/>
          <w:left w:val="nil"/>
          <w:bottom w:val="nil"/>
          <w:right w:val="nil"/>
          <w:insideH w:val="nil"/>
          <w:insideV w:val="nil"/>
        </w:tblBorders>
        <w:tblLayout w:type="fixed"/>
        <w:tblLook w:val="0600" w:firstRow="0" w:lastRow="0" w:firstColumn="0" w:lastColumn="0" w:noHBand="1" w:noVBand="1"/>
      </w:tblPr>
      <w:tblGrid>
        <w:gridCol w:w="2430"/>
        <w:gridCol w:w="7215"/>
      </w:tblGrid>
      <w:tr w:rsidR="007356D6" w14:paraId="3DB131FD" w14:textId="77777777">
        <w:trPr>
          <w:trHeight w:val="450"/>
        </w:trPr>
        <w:tc>
          <w:tcPr>
            <w:tcW w:w="2430" w:type="dxa"/>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08C72ECF"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CD02:</w:t>
            </w:r>
          </w:p>
        </w:tc>
        <w:tc>
          <w:tcPr>
            <w:tcW w:w="7215" w:type="dxa"/>
            <w:tcBorders>
              <w:top w:val="single" w:sz="5" w:space="0" w:color="000000"/>
              <w:left w:val="nil"/>
              <w:bottom w:val="single" w:sz="5" w:space="0" w:color="000000"/>
              <w:right w:val="single" w:sz="5" w:space="0" w:color="000000"/>
            </w:tcBorders>
            <w:shd w:val="clear" w:color="auto" w:fill="CFE2F3"/>
            <w:tcMar>
              <w:top w:w="100" w:type="dxa"/>
              <w:left w:w="100" w:type="dxa"/>
              <w:bottom w:w="100" w:type="dxa"/>
              <w:right w:w="100" w:type="dxa"/>
            </w:tcMar>
          </w:tcPr>
          <w:p w14:paraId="5C5B82AE"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Small businesses in Uganda flourish thanks to digital skills training by local libraries</w:t>
            </w:r>
          </w:p>
        </w:tc>
      </w:tr>
      <w:tr w:rsidR="007356D6" w14:paraId="1E61E476" w14:textId="77777777">
        <w:trPr>
          <w:trHeight w:val="690"/>
        </w:trPr>
        <w:tc>
          <w:tcPr>
            <w:tcW w:w="2430" w:type="dxa"/>
            <w:tcBorders>
              <w:top w:val="nil"/>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51D79C83"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Presented at the 2023 PNMA Plenary Session:</w:t>
            </w:r>
          </w:p>
        </w:tc>
        <w:tc>
          <w:tcPr>
            <w:tcW w:w="7215" w:type="dxa"/>
            <w:tcBorders>
              <w:top w:val="nil"/>
              <w:left w:val="nil"/>
              <w:bottom w:val="single" w:sz="5" w:space="0" w:color="000000"/>
              <w:right w:val="single" w:sz="5" w:space="0" w:color="000000"/>
            </w:tcBorders>
            <w:shd w:val="clear" w:color="auto" w:fill="CFE2F3"/>
            <w:tcMar>
              <w:top w:w="100" w:type="dxa"/>
              <w:left w:w="100" w:type="dxa"/>
              <w:bottom w:w="100" w:type="dxa"/>
              <w:right w:w="100" w:type="dxa"/>
            </w:tcMar>
          </w:tcPr>
          <w:p w14:paraId="579C331E"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7356D6" w14:paraId="7970FF10" w14:textId="77777777">
        <w:trPr>
          <w:trHeight w:val="450"/>
        </w:trPr>
        <w:tc>
          <w:tcPr>
            <w:tcW w:w="24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C863F30"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215" w:type="dxa"/>
            <w:tcBorders>
              <w:top w:val="nil"/>
              <w:left w:val="nil"/>
              <w:bottom w:val="single" w:sz="5" w:space="0" w:color="000000"/>
              <w:right w:val="single" w:sz="5" w:space="0" w:color="000000"/>
            </w:tcBorders>
            <w:tcMar>
              <w:top w:w="100" w:type="dxa"/>
              <w:left w:w="100" w:type="dxa"/>
              <w:bottom w:w="100" w:type="dxa"/>
              <w:right w:w="100" w:type="dxa"/>
            </w:tcMar>
          </w:tcPr>
          <w:p w14:paraId="3532D062" w14:textId="77777777" w:rsidR="007356D6" w:rsidRDefault="00D7602D">
            <w:pPr>
              <w:spacing w:before="240" w:after="240"/>
              <w:ind w:left="-100"/>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Uganda, various locations (Eastern Uganda)</w:t>
            </w:r>
          </w:p>
        </w:tc>
      </w:tr>
      <w:tr w:rsidR="007356D6" w14:paraId="4C7D7B40" w14:textId="77777777">
        <w:trPr>
          <w:trHeight w:val="690"/>
        </w:trPr>
        <w:tc>
          <w:tcPr>
            <w:tcW w:w="24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EF6033E"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215" w:type="dxa"/>
            <w:tcBorders>
              <w:top w:val="nil"/>
              <w:left w:val="nil"/>
              <w:bottom w:val="single" w:sz="5" w:space="0" w:color="000000"/>
              <w:right w:val="single" w:sz="5" w:space="0" w:color="000000"/>
            </w:tcBorders>
            <w:tcMar>
              <w:top w:w="100" w:type="dxa"/>
              <w:left w:w="100" w:type="dxa"/>
              <w:bottom w:w="100" w:type="dxa"/>
              <w:right w:w="100" w:type="dxa"/>
            </w:tcMar>
          </w:tcPr>
          <w:p w14:paraId="3EE75A3C" w14:textId="77777777" w:rsidR="007356D6" w:rsidRDefault="00D7602D">
            <w:pPr>
              <w:spacing w:before="240" w:after="24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 project is funded by Belgium through the Wehubit Programme implemented by the Belgian development agency, Enabel.</w:t>
            </w:r>
          </w:p>
        </w:tc>
      </w:tr>
      <w:tr w:rsidR="007356D6" w14:paraId="04451CDB" w14:textId="77777777">
        <w:trPr>
          <w:trHeight w:val="690"/>
        </w:trPr>
        <w:tc>
          <w:tcPr>
            <w:tcW w:w="24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4EE1CB9"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215" w:type="dxa"/>
            <w:tcBorders>
              <w:top w:val="nil"/>
              <w:left w:val="nil"/>
              <w:bottom w:val="single" w:sz="5" w:space="0" w:color="000000"/>
              <w:right w:val="single" w:sz="5" w:space="0" w:color="000000"/>
            </w:tcBorders>
            <w:tcMar>
              <w:top w:w="100" w:type="dxa"/>
              <w:left w:w="100" w:type="dxa"/>
              <w:bottom w:w="100" w:type="dxa"/>
              <w:right w:w="100" w:type="dxa"/>
            </w:tcMar>
          </w:tcPr>
          <w:p w14:paraId="3DD089D9" w14:textId="77777777" w:rsidR="007356D6" w:rsidRDefault="00D7602D">
            <w:pPr>
              <w:spacing w:before="240" w:after="240"/>
              <w:ind w:left="-100"/>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Electronic Information for Libraries (EIFL), National Library of Uganda, Maendoleo Foundation, Peer 2 Peer University</w:t>
            </w:r>
          </w:p>
        </w:tc>
      </w:tr>
      <w:tr w:rsidR="007356D6" w14:paraId="7B8272AF" w14:textId="77777777">
        <w:trPr>
          <w:trHeight w:val="4455"/>
        </w:trPr>
        <w:tc>
          <w:tcPr>
            <w:tcW w:w="24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A70BAEC"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215" w:type="dxa"/>
            <w:tcBorders>
              <w:top w:val="nil"/>
              <w:left w:val="nil"/>
              <w:bottom w:val="single" w:sz="5" w:space="0" w:color="000000"/>
              <w:right w:val="single" w:sz="5" w:space="0" w:color="000000"/>
            </w:tcBorders>
            <w:tcMar>
              <w:top w:w="100" w:type="dxa"/>
              <w:left w:w="100" w:type="dxa"/>
              <w:bottom w:w="100" w:type="dxa"/>
              <w:right w:w="100" w:type="dxa"/>
            </w:tcMar>
          </w:tcPr>
          <w:p w14:paraId="01BFE6E0" w14:textId="77777777" w:rsidR="007356D6" w:rsidRDefault="00D7602D">
            <w:pPr>
              <w:spacing w:before="240" w:after="24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 lack of digital skills was identified as one of the most significant barriers to Internet adoption and use by peop</w:t>
            </w:r>
            <w:r>
              <w:rPr>
                <w:rFonts w:ascii="Times New Roman" w:eastAsia="Times New Roman" w:hAnsi="Times New Roman" w:cs="Times New Roman"/>
                <w:sz w:val="20"/>
                <w:szCs w:val="20"/>
                <w:highlight w:val="white"/>
              </w:rPr>
              <w:t xml:space="preserve">le in Uganda. Many Ugandans still lack the skills to use the Internet and perform basic money transfer and payment functions. This not only leaves many excluded, but it also leaves people more vulnerable to safety and security risks. More advanced digital </w:t>
            </w:r>
            <w:r>
              <w:rPr>
                <w:rFonts w:ascii="Times New Roman" w:eastAsia="Times New Roman" w:hAnsi="Times New Roman" w:cs="Times New Roman"/>
                <w:sz w:val="20"/>
                <w:szCs w:val="20"/>
                <w:highlight w:val="white"/>
              </w:rPr>
              <w:t>skills are also crucial to accelerate inclusive digital growth, for example for the use or development of digital solutions by small and micro-enterprises and start-ups.</w:t>
            </w:r>
          </w:p>
          <w:p w14:paraId="3A08CB82" w14:textId="77777777" w:rsidR="007356D6" w:rsidRDefault="00D7602D">
            <w:pPr>
              <w:spacing w:before="240" w:after="24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14:paraId="7E74138A" w14:textId="77777777" w:rsidR="007356D6" w:rsidRDefault="00D7602D">
            <w:pPr>
              <w:spacing w:before="240" w:after="240" w:line="254" w:lineRule="auto"/>
              <w:ind w:left="-100"/>
              <w:jc w:val="both"/>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color w:val="212529"/>
                <w:sz w:val="20"/>
                <w:szCs w:val="20"/>
                <w:highlight w:val="white"/>
              </w:rPr>
              <w:t>- Is it a Rural / Urban setting? Mixed</w:t>
            </w:r>
          </w:p>
          <w:p w14:paraId="461E99C1" w14:textId="77777777" w:rsidR="007356D6" w:rsidRDefault="00D7602D">
            <w:pPr>
              <w:spacing w:before="240" w:after="240" w:line="254" w:lineRule="auto"/>
              <w:ind w:left="-100"/>
              <w:jc w:val="both"/>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color w:val="212529"/>
                <w:sz w:val="20"/>
                <w:szCs w:val="20"/>
                <w:highlight w:val="white"/>
              </w:rPr>
              <w:t>- Is there a gender focus? There has been a p</w:t>
            </w:r>
            <w:r>
              <w:rPr>
                <w:rFonts w:ascii="Times New Roman" w:eastAsia="Times New Roman" w:hAnsi="Times New Roman" w:cs="Times New Roman"/>
                <w:color w:val="212529"/>
                <w:sz w:val="20"/>
                <w:szCs w:val="20"/>
                <w:highlight w:val="white"/>
              </w:rPr>
              <w:t>articular focus on women, as well as youth, as beneficiaries.</w:t>
            </w:r>
          </w:p>
          <w:p w14:paraId="1EFD6E70" w14:textId="77777777" w:rsidR="007356D6" w:rsidRDefault="00D7602D">
            <w:pPr>
              <w:spacing w:before="240" w:after="240"/>
              <w:ind w:left="-100"/>
              <w:jc w:val="both"/>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color w:val="212529"/>
                <w:sz w:val="20"/>
                <w:szCs w:val="20"/>
                <w:highlight w:val="white"/>
              </w:rPr>
              <w:t>- What were the services provided, subsidies used, anything else worth sharing? The programme focuses on helping beneficiaries to connect with online resources in order to launch or develop busi</w:t>
            </w:r>
            <w:r>
              <w:rPr>
                <w:rFonts w:ascii="Times New Roman" w:eastAsia="Times New Roman" w:hAnsi="Times New Roman" w:cs="Times New Roman"/>
                <w:color w:val="212529"/>
                <w:sz w:val="20"/>
                <w:szCs w:val="20"/>
                <w:highlight w:val="white"/>
              </w:rPr>
              <w:t>nesses. Crucially, the work is about connecting people who would not otherwise have been able to make the most of available skills and materials.</w:t>
            </w:r>
          </w:p>
        </w:tc>
      </w:tr>
      <w:tr w:rsidR="007356D6" w14:paraId="58AEB676" w14:textId="77777777">
        <w:trPr>
          <w:trHeight w:val="4050"/>
        </w:trPr>
        <w:tc>
          <w:tcPr>
            <w:tcW w:w="24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676A606"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Which were the actions taken to address the problem(s)?</w:t>
            </w:r>
          </w:p>
        </w:tc>
        <w:tc>
          <w:tcPr>
            <w:tcW w:w="7215" w:type="dxa"/>
            <w:tcBorders>
              <w:top w:val="nil"/>
              <w:left w:val="nil"/>
              <w:bottom w:val="single" w:sz="5" w:space="0" w:color="000000"/>
              <w:right w:val="single" w:sz="5" w:space="0" w:color="000000"/>
            </w:tcBorders>
            <w:tcMar>
              <w:top w:w="100" w:type="dxa"/>
              <w:left w:w="100" w:type="dxa"/>
              <w:bottom w:w="100" w:type="dxa"/>
              <w:right w:w="100" w:type="dxa"/>
            </w:tcMar>
          </w:tcPr>
          <w:p w14:paraId="20CC172A" w14:textId="77777777" w:rsidR="007356D6" w:rsidRDefault="00D7602D">
            <w:pPr>
              <w:shd w:val="clear" w:color="auto" w:fill="FFFFFF"/>
              <w:spacing w:before="240" w:after="240"/>
              <w:ind w:left="-100"/>
              <w:jc w:val="both"/>
              <w:rPr>
                <w:rFonts w:ascii="Times New Roman" w:eastAsia="Times New Roman" w:hAnsi="Times New Roman" w:cs="Times New Roman"/>
                <w:color w:val="212529"/>
                <w:sz w:val="20"/>
                <w:szCs w:val="20"/>
              </w:rPr>
            </w:pPr>
            <w:r>
              <w:rPr>
                <w:rFonts w:ascii="Times New Roman" w:eastAsia="Times New Roman" w:hAnsi="Times New Roman" w:cs="Times New Roman"/>
                <w:sz w:val="20"/>
                <w:szCs w:val="20"/>
              </w:rPr>
              <w:t>The programme focuses on helping beneficiaries to connect with online resources in order to launch or develop businesses. Crucially, the work is about connecting people who would not otherwise have been able to make the most of available skills and materia</w:t>
            </w:r>
            <w:r>
              <w:rPr>
                <w:rFonts w:ascii="Times New Roman" w:eastAsia="Times New Roman" w:hAnsi="Times New Roman" w:cs="Times New Roman"/>
                <w:sz w:val="20"/>
                <w:szCs w:val="20"/>
              </w:rPr>
              <w:t>ls. Since 2021, the “</w:t>
            </w:r>
            <w:hyperlink r:id="rId39">
              <w:r>
                <w:rPr>
                  <w:rFonts w:ascii="Times New Roman" w:eastAsia="Times New Roman" w:hAnsi="Times New Roman" w:cs="Times New Roman"/>
                  <w:sz w:val="20"/>
                  <w:szCs w:val="20"/>
                </w:rPr>
                <w:t>Digital skills@your local library” project</w:t>
              </w:r>
            </w:hyperlink>
            <w:r>
              <w:rPr>
                <w:rFonts w:ascii="Times New Roman" w:eastAsia="Times New Roman" w:hAnsi="Times New Roman" w:cs="Times New Roman"/>
                <w:sz w:val="20"/>
                <w:szCs w:val="20"/>
              </w:rPr>
              <w:t xml:space="preserve"> has worked with a network of 27 public and community libraries in Uganda to provide</w:t>
            </w:r>
            <w:r>
              <w:rPr>
                <w:rFonts w:ascii="Times New Roman" w:eastAsia="Times New Roman" w:hAnsi="Times New Roman" w:cs="Times New Roman"/>
                <w:sz w:val="20"/>
                <w:szCs w:val="20"/>
              </w:rPr>
              <w:t xml:space="preserve"> digital skills to young people and women. 50 librarians and volunteers have been trained to teach vital digital and mobile literacy skills in their communities. Across Uganda, over 15,000 members of the community have benefited from training to date. </w:t>
            </w:r>
            <w:r>
              <w:rPr>
                <w:rFonts w:ascii="Times New Roman" w:eastAsia="Times New Roman" w:hAnsi="Times New Roman" w:cs="Times New Roman"/>
                <w:color w:val="212529"/>
                <w:sz w:val="20"/>
                <w:szCs w:val="20"/>
              </w:rPr>
              <w:t>They</w:t>
            </w:r>
            <w:r>
              <w:rPr>
                <w:rFonts w:ascii="Times New Roman" w:eastAsia="Times New Roman" w:hAnsi="Times New Roman" w:cs="Times New Roman"/>
                <w:color w:val="212529"/>
                <w:sz w:val="20"/>
                <w:szCs w:val="20"/>
              </w:rPr>
              <w:t xml:space="preserve"> can draw on digital tools to become trainers themselves. This has included a focus on digital and mobile literacy, as well as the development of programmes that are responsive to needs.</w:t>
            </w:r>
          </w:p>
          <w:p w14:paraId="50A157B6" w14:textId="77777777" w:rsidR="007356D6" w:rsidRDefault="00D7602D">
            <w:pPr>
              <w:shd w:val="clear" w:color="auto" w:fill="FFFFFF"/>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color w:val="212529"/>
                <w:sz w:val="20"/>
                <w:szCs w:val="20"/>
              </w:rPr>
              <w:t xml:space="preserve">These activities take place both in libraries and in other community centres, including workplaces and beyond. </w:t>
            </w:r>
            <w:r>
              <w:rPr>
                <w:rFonts w:ascii="Times New Roman" w:eastAsia="Times New Roman" w:hAnsi="Times New Roman" w:cs="Times New Roman"/>
                <w:sz w:val="20"/>
                <w:szCs w:val="20"/>
              </w:rPr>
              <w:t>Whilst many classes are held in library buildings, librarians also go out into the community, visiting workplaces such as garages and shops to de</w:t>
            </w:r>
            <w:r>
              <w:rPr>
                <w:rFonts w:ascii="Times New Roman" w:eastAsia="Times New Roman" w:hAnsi="Times New Roman" w:cs="Times New Roman"/>
                <w:sz w:val="20"/>
                <w:szCs w:val="20"/>
              </w:rPr>
              <w:t>monstrate, using mobile devices, how the internet can provide skills to help entrepreneurs, including mechanics, marketing or communications skills.</w:t>
            </w:r>
          </w:p>
        </w:tc>
      </w:tr>
      <w:tr w:rsidR="007356D6" w14:paraId="203429C8" w14:textId="77777777">
        <w:trPr>
          <w:trHeight w:val="9855"/>
        </w:trPr>
        <w:tc>
          <w:tcPr>
            <w:tcW w:w="24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19AA26F"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Results / Impact / Lessons learned (what worked / remaining challenges)</w:t>
            </w:r>
          </w:p>
        </w:tc>
        <w:tc>
          <w:tcPr>
            <w:tcW w:w="7215" w:type="dxa"/>
            <w:tcBorders>
              <w:top w:val="nil"/>
              <w:left w:val="nil"/>
              <w:bottom w:val="single" w:sz="5" w:space="0" w:color="000000"/>
              <w:right w:val="single" w:sz="5" w:space="0" w:color="000000"/>
            </w:tcBorders>
            <w:tcMar>
              <w:top w:w="100" w:type="dxa"/>
              <w:left w:w="100" w:type="dxa"/>
              <w:bottom w:w="100" w:type="dxa"/>
              <w:right w:w="100" w:type="dxa"/>
            </w:tcMar>
          </w:tcPr>
          <w:p w14:paraId="645666CC"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Results: over 15,000 members of the community have benefitted, in particular women and young people, but also others from across society. There are strong stories of people who have been able to develop their business, using the internet to develop new b</w:t>
            </w:r>
            <w:r>
              <w:rPr>
                <w:rFonts w:ascii="Times New Roman" w:eastAsia="Times New Roman" w:hAnsi="Times New Roman" w:cs="Times New Roman"/>
                <w:sz w:val="20"/>
                <w:szCs w:val="20"/>
              </w:rPr>
              <w:t>usiness offers, to become more productive, and to offer new services that support, for example, schools. This proved particularly useful during COVID, allowing people to keep on working.</w:t>
            </w:r>
          </w:p>
          <w:p w14:paraId="61B27E38"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7A10995" w14:textId="77777777" w:rsidR="007356D6" w:rsidRDefault="00D7602D">
            <w:pPr>
              <w:shd w:val="clear" w:color="auto" w:fill="FFFFFF"/>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Impact: there are strong stories of people who have been able to </w:t>
            </w:r>
            <w:r>
              <w:rPr>
                <w:rFonts w:ascii="Times New Roman" w:eastAsia="Times New Roman" w:hAnsi="Times New Roman" w:cs="Times New Roman"/>
                <w:sz w:val="20"/>
                <w:szCs w:val="20"/>
              </w:rPr>
              <w:t>develop their business, using the internet to develop new business offers, to become more productive, and to offer new services that support, for example, schools. This proved particularly useful during COVID, allowing people to keep on working.</w:t>
            </w:r>
          </w:p>
          <w:p w14:paraId="17F94770" w14:textId="77777777" w:rsidR="007356D6" w:rsidRDefault="00D7602D">
            <w:pPr>
              <w:shd w:val="clear" w:color="auto" w:fill="FFFFFF"/>
              <w:spacing w:before="240" w:after="240"/>
              <w:ind w:left="2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u w:val="single"/>
              </w:rPr>
              <w:t>S</w:t>
            </w:r>
            <w:r>
              <w:rPr>
                <w:rFonts w:ascii="Times New Roman" w:eastAsia="Times New Roman" w:hAnsi="Times New Roman" w:cs="Times New Roman"/>
                <w:sz w:val="20"/>
                <w:szCs w:val="20"/>
                <w:u w:val="single"/>
              </w:rPr>
              <w:t>uccess story 01:</w:t>
            </w:r>
            <w:r>
              <w:rPr>
                <w:rFonts w:ascii="Times New Roman" w:eastAsia="Times New Roman" w:hAnsi="Times New Roman" w:cs="Times New Roman"/>
                <w:sz w:val="20"/>
                <w:szCs w:val="20"/>
              </w:rPr>
              <w:t xml:space="preserve"> In the small town of Bugiri, Eastern Uganda, Juliana Awor is growing her tree nursery business thanks to a tin of seeds, a thirst for knowledge and the help of her local library. After enrolling in digital and mobile literacy training, off</w:t>
            </w:r>
            <w:r>
              <w:rPr>
                <w:rFonts w:ascii="Times New Roman" w:eastAsia="Times New Roman" w:hAnsi="Times New Roman" w:cs="Times New Roman"/>
                <w:sz w:val="20"/>
                <w:szCs w:val="20"/>
              </w:rPr>
              <w:t>ered by Bugiri Public Library, Juliana learnt how to research tree species and the process of tree cultivation. Using her newly acquired digital skills, Juliana used the internet to learn about Eucalyptus, a fast-growing tree cultivated in Uganda for fuel,</w:t>
            </w:r>
            <w:r>
              <w:rPr>
                <w:rFonts w:ascii="Times New Roman" w:eastAsia="Times New Roman" w:hAnsi="Times New Roman" w:cs="Times New Roman"/>
                <w:sz w:val="20"/>
                <w:szCs w:val="20"/>
              </w:rPr>
              <w:t xml:space="preserve"> timber and use for telegraph poles. Eucalyptus has a high market demand and slowly Juliana’s business has grown. She started by raising 50,000 Ugandan Shillings (12 EUROS) from friends and family to purchase her first tin of seeds. Juliana’s business is g</w:t>
            </w:r>
            <w:r>
              <w:rPr>
                <w:rFonts w:ascii="Times New Roman" w:eastAsia="Times New Roman" w:hAnsi="Times New Roman" w:cs="Times New Roman"/>
                <w:sz w:val="20"/>
                <w:szCs w:val="20"/>
              </w:rPr>
              <w:t>rowing, and she supplies over 5,000 seedlings each growing season, providing a good income to support her family. Stories such as Juliana’s are replicated across Uganda, as public and community libraries provide local entrepreneurs and small businesses wit</w:t>
            </w:r>
            <w:r>
              <w:rPr>
                <w:rFonts w:ascii="Times New Roman" w:eastAsia="Times New Roman" w:hAnsi="Times New Roman" w:cs="Times New Roman"/>
                <w:sz w:val="20"/>
                <w:szCs w:val="20"/>
              </w:rPr>
              <w:t>h access to ICT tools and the support they need to succeed in earning a good income to support their families.</w:t>
            </w:r>
          </w:p>
          <w:p w14:paraId="513650E7" w14:textId="77777777" w:rsidR="007356D6" w:rsidRDefault="00D7602D">
            <w:pPr>
              <w:shd w:val="clear" w:color="auto" w:fill="FFFFFF"/>
              <w:spacing w:before="240" w:after="240"/>
              <w:ind w:left="2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u w:val="single"/>
              </w:rPr>
              <w:t>Success story 02:</w:t>
            </w:r>
            <w:r>
              <w:rPr>
                <w:rFonts w:ascii="Times New Roman" w:eastAsia="Times New Roman" w:hAnsi="Times New Roman" w:cs="Times New Roman"/>
                <w:sz w:val="20"/>
                <w:szCs w:val="20"/>
              </w:rPr>
              <w:t xml:space="preserve"> In Nakaseke, librarian Peter Balaba and volunteer David Tuhairwe have been visiting their local high street, meeting e</w:t>
            </w:r>
            <w:r>
              <w:rPr>
                <w:rFonts w:ascii="Times New Roman" w:eastAsia="Times New Roman" w:hAnsi="Times New Roman" w:cs="Times New Roman"/>
                <w:sz w:val="20"/>
                <w:szCs w:val="20"/>
              </w:rPr>
              <w:t>ntrepreneurs and introducing new technology tools and digital resources useful for their businesses. Thanks to David and Peter, Carol Wanyenze’s ice cream shop now uses new recipes from the internet to make ice-cream for their happy customers. At Yiga Book</w:t>
            </w:r>
            <w:r>
              <w:rPr>
                <w:rFonts w:ascii="Times New Roman" w:eastAsia="Times New Roman" w:hAnsi="Times New Roman" w:cs="Times New Roman"/>
                <w:sz w:val="20"/>
                <w:szCs w:val="20"/>
              </w:rPr>
              <w:t>shop, Jackson Lubega was able to help his father’s business through the COVID-19 pandemic following skills training with Peter and David at the library in Nakaseke.</w:t>
            </w:r>
          </w:p>
          <w:p w14:paraId="2BCA971E"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61434A4"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Lessons learned: (what worked / remaining challenges): while they do already offer connectivity and a strong awareness of local needs, libraries on their own cannot do everything, but with support to develop skills and outreach, can have a significant im</w:t>
            </w:r>
            <w:r>
              <w:rPr>
                <w:rFonts w:ascii="Times New Roman" w:eastAsia="Times New Roman" w:hAnsi="Times New Roman" w:cs="Times New Roman"/>
                <w:sz w:val="20"/>
                <w:szCs w:val="20"/>
              </w:rPr>
              <w:t>pact.</w:t>
            </w:r>
          </w:p>
        </w:tc>
      </w:tr>
      <w:tr w:rsidR="007356D6" w14:paraId="3558A8BA" w14:textId="77777777">
        <w:trPr>
          <w:trHeight w:val="450"/>
        </w:trPr>
        <w:tc>
          <w:tcPr>
            <w:tcW w:w="9645" w:type="dxa"/>
            <w:gridSpan w:val="2"/>
            <w:tcBorders>
              <w:top w:val="nil"/>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0C33ABF6" w14:textId="77777777" w:rsidR="007356D6" w:rsidRDefault="00D7602D">
            <w:pPr>
              <w:spacing w:before="240" w:after="240"/>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 available</w:t>
            </w:r>
          </w:p>
        </w:tc>
      </w:tr>
      <w:tr w:rsidR="007356D6" w14:paraId="7FFFA78D" w14:textId="77777777">
        <w:trPr>
          <w:trHeight w:val="69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54DAF6E"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04FC9DB"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Partially. More funding would allow it to expand to other areas or regions.</w:t>
            </w:r>
          </w:p>
        </w:tc>
      </w:tr>
      <w:tr w:rsidR="007356D6" w14:paraId="3EE065AB" w14:textId="77777777">
        <w:trPr>
          <w:trHeight w:val="93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DCBD9FE"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Did any new problems emerge during implementation?</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0768BDC" w14:textId="77777777" w:rsidR="007356D6" w:rsidRDefault="00D7602D">
            <w:pPr>
              <w:spacing w:before="240" w:after="240"/>
              <w:ind w:left="-100"/>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While the programme does already offer connectivity and a strong awareness of local needs, libraries on their own cannot do everything, but with support to develop skills and outreach, can have a significant impact.</w:t>
            </w:r>
          </w:p>
        </w:tc>
      </w:tr>
      <w:tr w:rsidR="007356D6" w14:paraId="1C8B8FFC" w14:textId="77777777">
        <w:trPr>
          <w:trHeight w:val="117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1A9166E"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ECE547A"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Current solutions seem to be effective when tackling the issue but follow up processes and additional funding are essential if new solutions were to be developed.</w:t>
            </w:r>
          </w:p>
        </w:tc>
      </w:tr>
      <w:tr w:rsidR="007356D6" w14:paraId="0E45C663" w14:textId="77777777">
        <w:trPr>
          <w:trHeight w:val="117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11F6AD9"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D52D86E"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Bugiri (initially), then to Nakaseke, Nayarushanje.</w:t>
            </w:r>
          </w:p>
        </w:tc>
      </w:tr>
      <w:tr w:rsidR="007356D6" w14:paraId="1BC66488" w14:textId="77777777">
        <w:trPr>
          <w:trHeight w:val="45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5D86FF3"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B4B88A7"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Obtaining external support to make the programme scalable.</w:t>
            </w:r>
          </w:p>
        </w:tc>
      </w:tr>
      <w:tr w:rsidR="007356D6" w14:paraId="649BCBDD" w14:textId="77777777">
        <w:trPr>
          <w:trHeight w:val="45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50B849C"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5EB07EC"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Ensure follow up processes with the community and obtain a diverse source of funding.</w:t>
            </w:r>
          </w:p>
        </w:tc>
      </w:tr>
      <w:tr w:rsidR="007356D6" w14:paraId="595AB99D" w14:textId="77777777">
        <w:trPr>
          <w:trHeight w:val="45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7E8C30A"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78F23BC"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5F4679CD" w14:textId="77777777">
        <w:trPr>
          <w:trHeight w:val="285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88F9F78"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Quote:</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8E5737F" w14:textId="77777777" w:rsidR="007356D6" w:rsidRDefault="00D7602D">
            <w:pPr>
              <w:spacing w:before="240" w:after="24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 digital skills training provided by the library enabled me to set up a business that can support my children and allowed me to manage my own</w:t>
            </w:r>
            <w:r>
              <w:rPr>
                <w:rFonts w:ascii="Times New Roman" w:eastAsia="Times New Roman" w:hAnsi="Times New Roman" w:cs="Times New Roman"/>
                <w:sz w:val="20"/>
                <w:szCs w:val="20"/>
                <w:highlight w:val="white"/>
              </w:rPr>
              <w:t xml:space="preserve"> enterprise. I want to encourage other people to learn these important skills, it is a golden opportunity for our future.” - Juliana, Burigi Public Library</w:t>
            </w:r>
          </w:p>
          <w:p w14:paraId="658C8BC0" w14:textId="77777777" w:rsidR="007356D6" w:rsidRDefault="00D7602D">
            <w:pPr>
              <w:spacing w:before="240" w:after="240"/>
              <w:ind w:left="26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14:paraId="5BDA42EE" w14:textId="77777777" w:rsidR="007356D6" w:rsidRDefault="00D7602D">
            <w:pPr>
              <w:spacing w:before="240" w:after="24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 most inspiring for me was desktop publishing. Now, I have introduced computer and printing se</w:t>
            </w:r>
            <w:r>
              <w:rPr>
                <w:rFonts w:ascii="Times New Roman" w:eastAsia="Times New Roman" w:hAnsi="Times New Roman" w:cs="Times New Roman"/>
                <w:sz w:val="20"/>
                <w:szCs w:val="20"/>
                <w:highlight w:val="white"/>
              </w:rPr>
              <w:t>rvices to the bookshop. We have bought a computer and I design school badges, stamps and exercise books – we are planning to buy a colour printer to print exams and posters in bulk.” - Jackson Lubega, Yiga Bookshop</w:t>
            </w:r>
          </w:p>
        </w:tc>
      </w:tr>
      <w:tr w:rsidR="007356D6" w14:paraId="135EBEE5" w14:textId="77777777">
        <w:trPr>
          <w:trHeight w:val="729"/>
        </w:trPr>
        <w:tc>
          <w:tcPr>
            <w:tcW w:w="9645"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DBBA968" w14:textId="77777777" w:rsidR="007356D6" w:rsidRDefault="00D7602D">
            <w:pPr>
              <w:spacing w:line="240" w:lineRule="auto"/>
              <w:jc w:val="center"/>
              <w:rPr>
                <w:b/>
              </w:rPr>
            </w:pPr>
            <w:r>
              <w:rPr>
                <w:b/>
              </w:rPr>
              <w:t xml:space="preserve">Follow-up for 2024 available on </w:t>
            </w:r>
            <w:r>
              <w:rPr>
                <w:b/>
                <w:highlight w:val="green"/>
              </w:rPr>
              <w:t>[write date]</w:t>
            </w:r>
          </w:p>
        </w:tc>
      </w:tr>
      <w:tr w:rsidR="007356D6" w14:paraId="43BDBFE7" w14:textId="77777777">
        <w:trPr>
          <w:trHeight w:val="829"/>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4CE0EF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1FEC6B"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(partial, fully; include numbers when possible) </w:t>
            </w:r>
          </w:p>
        </w:tc>
      </w:tr>
      <w:tr w:rsidR="007356D6" w14:paraId="59F04EFB" w14:textId="77777777">
        <w:trPr>
          <w:trHeight w:val="99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177E47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Did any new problems emerge during implementation?</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85C556"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3C1EC84" w14:textId="77777777">
        <w:trPr>
          <w:trHeight w:val="1249"/>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312CBB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1F530D"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8EA0A5A" w14:textId="77777777">
        <w:trPr>
          <w:trHeight w:val="95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19B792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833737"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7DA42CB" w14:textId="77777777">
        <w:trPr>
          <w:trHeight w:val="63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59C029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1BA01C"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44EAAD4D" w14:textId="77777777">
        <w:trPr>
          <w:trHeight w:val="53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B41197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7A10FD"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1E16F3A5" w14:textId="77777777">
        <w:trPr>
          <w:trHeight w:val="529"/>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A07325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225B58"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3C7D4755" w14:textId="77777777">
        <w:trPr>
          <w:trHeight w:val="59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18DCF04"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4BBC22" w14:textId="77777777" w:rsidR="007356D6" w:rsidRDefault="00D7602D">
            <w:pPr>
              <w:spacing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organisation’s statement that stood out in the survey reply)</w:t>
            </w:r>
          </w:p>
        </w:tc>
      </w:tr>
    </w:tbl>
    <w:p w14:paraId="2D265FB2"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34320502" w14:textId="77777777" w:rsidR="007356D6" w:rsidRDefault="007356D6">
      <w:pPr>
        <w:spacing w:before="240" w:after="240"/>
        <w:jc w:val="both"/>
        <w:rPr>
          <w:rFonts w:ascii="Times New Roman" w:eastAsia="Times New Roman" w:hAnsi="Times New Roman" w:cs="Times New Roman"/>
          <w:b/>
          <w:sz w:val="20"/>
          <w:szCs w:val="20"/>
        </w:rPr>
      </w:pPr>
    </w:p>
    <w:tbl>
      <w:tblPr>
        <w:tblStyle w:val="aff0"/>
        <w:tblW w:w="9637" w:type="dxa"/>
        <w:tblBorders>
          <w:top w:val="nil"/>
          <w:left w:val="nil"/>
          <w:bottom w:val="nil"/>
          <w:right w:val="nil"/>
          <w:insideH w:val="nil"/>
          <w:insideV w:val="nil"/>
        </w:tblBorders>
        <w:tblLayout w:type="fixed"/>
        <w:tblLook w:val="0600" w:firstRow="0" w:lastRow="0" w:firstColumn="0" w:lastColumn="0" w:noHBand="1" w:noVBand="1"/>
      </w:tblPr>
      <w:tblGrid>
        <w:gridCol w:w="2423"/>
        <w:gridCol w:w="7214"/>
      </w:tblGrid>
      <w:tr w:rsidR="007356D6" w14:paraId="0E046708" w14:textId="77777777">
        <w:trPr>
          <w:trHeight w:val="450"/>
        </w:trPr>
        <w:tc>
          <w:tcPr>
            <w:tcW w:w="2423" w:type="dxa"/>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7DF6F34B"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CD03:</w:t>
            </w:r>
          </w:p>
        </w:tc>
        <w:tc>
          <w:tcPr>
            <w:tcW w:w="7214" w:type="dxa"/>
            <w:tcBorders>
              <w:top w:val="single" w:sz="5" w:space="0" w:color="000000"/>
              <w:left w:val="nil"/>
              <w:bottom w:val="single" w:sz="5" w:space="0" w:color="000000"/>
              <w:right w:val="single" w:sz="5" w:space="0" w:color="000000"/>
            </w:tcBorders>
            <w:shd w:val="clear" w:color="auto" w:fill="CFE2F3"/>
            <w:tcMar>
              <w:top w:w="100" w:type="dxa"/>
              <w:left w:w="100" w:type="dxa"/>
              <w:bottom w:w="100" w:type="dxa"/>
              <w:right w:w="100" w:type="dxa"/>
            </w:tcMar>
          </w:tcPr>
          <w:p w14:paraId="05E06EB9"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Glass Room Project: Misinformation edition</w:t>
            </w:r>
          </w:p>
        </w:tc>
      </w:tr>
      <w:tr w:rsidR="007356D6" w14:paraId="52E30CC7" w14:textId="77777777">
        <w:trPr>
          <w:trHeight w:val="690"/>
        </w:trPr>
        <w:tc>
          <w:tcPr>
            <w:tcW w:w="2423" w:type="dxa"/>
            <w:tcBorders>
              <w:top w:val="nil"/>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59F15DBE"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Presented at the 2023 PNMA Plenary Session:</w:t>
            </w:r>
          </w:p>
        </w:tc>
        <w:tc>
          <w:tcPr>
            <w:tcW w:w="7214" w:type="dxa"/>
            <w:tcBorders>
              <w:top w:val="nil"/>
              <w:left w:val="nil"/>
              <w:bottom w:val="single" w:sz="5" w:space="0" w:color="000000"/>
              <w:right w:val="single" w:sz="5" w:space="0" w:color="000000"/>
            </w:tcBorders>
            <w:shd w:val="clear" w:color="auto" w:fill="CFE2F3"/>
            <w:tcMar>
              <w:top w:w="100" w:type="dxa"/>
              <w:left w:w="100" w:type="dxa"/>
              <w:bottom w:w="100" w:type="dxa"/>
              <w:right w:w="100" w:type="dxa"/>
            </w:tcMar>
          </w:tcPr>
          <w:p w14:paraId="1BA638F0"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7356D6" w14:paraId="360D644B"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6E13F8"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900FD96"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Italy, Germany, Spain, France, Sweden, Slovenia, Lithuania, Ukraine</w:t>
            </w:r>
          </w:p>
        </w:tc>
      </w:tr>
      <w:tr w:rsidR="007356D6" w14:paraId="66B22996"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ACD7460"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6F66CA0"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European Union</w:t>
            </w:r>
          </w:p>
        </w:tc>
      </w:tr>
      <w:tr w:rsidR="007356D6" w14:paraId="06EF12AA" w14:textId="77777777">
        <w:trPr>
          <w:trHeight w:val="69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BF25C3F"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Responsible institutions / partners / people:</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BC9C748"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Tactical Tech, IFLA, Save the Children Italy</w:t>
            </w:r>
          </w:p>
        </w:tc>
      </w:tr>
      <w:tr w:rsidR="007356D6" w14:paraId="094AC9BB" w14:textId="77777777">
        <w:trPr>
          <w:trHeight w:val="261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CABC0D4"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41139EB"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Amid escalating crises and the spread of misinformation, digital technologies play an increasing role in the way people get informed, form opinions and find solutions to situations like war, climate crises, and political polarisation. Many are still unawar</w:t>
            </w:r>
            <w:r>
              <w:rPr>
                <w:rFonts w:ascii="Times New Roman" w:eastAsia="Times New Roman" w:hAnsi="Times New Roman" w:cs="Times New Roman"/>
                <w:sz w:val="20"/>
                <w:szCs w:val="20"/>
              </w:rPr>
              <w:t>e of the relationship between digital technologies and people's responses to crises. This realisation drove our mission to engage people in exploring this crucial topic.</w:t>
            </w:r>
          </w:p>
          <w:p w14:paraId="23E7A8FD"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There is a lot of optimism surrounding digital technologies but less focus on their po</w:t>
            </w:r>
            <w:r>
              <w:rPr>
                <w:rFonts w:ascii="Times New Roman" w:eastAsia="Times New Roman" w:hAnsi="Times New Roman" w:cs="Times New Roman"/>
                <w:sz w:val="20"/>
                <w:szCs w:val="20"/>
              </w:rPr>
              <w:t>tential for civil society and the risks that could arise. Digital skills and technology can be an empowering force, but more action needs to be done to navigate and keep up with the constant developments.</w:t>
            </w:r>
          </w:p>
        </w:tc>
      </w:tr>
      <w:tr w:rsidR="007356D6" w14:paraId="036E7A77" w14:textId="77777777">
        <w:trPr>
          <w:trHeight w:val="10395"/>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529B9EB"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Which were the actions taken to address the problem(s)?</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CCE1B93"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hear a lot about misinformation, disinformation and conspiracy theories these days. But what makes a piece of information reliable or unreliable? Is something “misinformation” if it simply presents</w:t>
            </w:r>
            <w:r>
              <w:rPr>
                <w:rFonts w:ascii="Times New Roman" w:eastAsia="Times New Roman" w:hAnsi="Times New Roman" w:cs="Times New Roman"/>
                <w:sz w:val="20"/>
                <w:szCs w:val="20"/>
              </w:rPr>
              <w:t xml:space="preserve"> an opinion we do not agree with? And what role do new technologies and social media platforms play in how misinformation spreads and the impact it has on our culture, politics and society?</w:t>
            </w:r>
          </w:p>
          <w:p w14:paraId="0A04C0E1"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exhibition explores what misinformation is, why it is shared a</w:t>
            </w:r>
            <w:r>
              <w:rPr>
                <w:rFonts w:ascii="Times New Roman" w:eastAsia="Times New Roman" w:hAnsi="Times New Roman" w:cs="Times New Roman"/>
                <w:sz w:val="20"/>
                <w:szCs w:val="20"/>
              </w:rPr>
              <w:t>nd how it spreads. One can find out how we, the individual users, can take part in it through our many clicks, likes and shares. Visitors learn about the business models, design practices and habits that create an environment where misinformation can sprea</w:t>
            </w:r>
            <w:r>
              <w:rPr>
                <w:rFonts w:ascii="Times New Roman" w:eastAsia="Times New Roman" w:hAnsi="Times New Roman" w:cs="Times New Roman"/>
                <w:sz w:val="20"/>
                <w:szCs w:val="20"/>
              </w:rPr>
              <w:t>d or go viral. Additionally, they understand how misinformation becomes normalised, and how the decisions made by the gatekeepers of technologies can influence our behaviours and opinions.</w:t>
            </w:r>
          </w:p>
          <w:p w14:paraId="73682F8F"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EF56726"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Glass Room Misinformation Edition, originally launched in 202</w:t>
            </w:r>
            <w:r>
              <w:rPr>
                <w:rFonts w:ascii="Times New Roman" w:eastAsia="Times New Roman" w:hAnsi="Times New Roman" w:cs="Times New Roman"/>
                <w:sz w:val="20"/>
                <w:szCs w:val="20"/>
              </w:rPr>
              <w:t>0 and updated in 2022, explores how social media and the web have changed the way we read information and react to it. We present new types of influencers, the new and old tactics they use, and the role we the users and consumers play in the way informatio</w:t>
            </w:r>
            <w:r>
              <w:rPr>
                <w:rFonts w:ascii="Times New Roman" w:eastAsia="Times New Roman" w:hAnsi="Times New Roman" w:cs="Times New Roman"/>
                <w:sz w:val="20"/>
                <w:szCs w:val="20"/>
              </w:rPr>
              <w:t>n flows and changes within that flow. We also examine the relationship between personal data, targeting and our opinions, views and behaviours, as well as the business models behind it.</w:t>
            </w:r>
          </w:p>
          <w:p w14:paraId="278313B8"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exhibition consists of 9 posters available in 3 formats; 8 video a</w:t>
            </w:r>
            <w:r>
              <w:rPr>
                <w:rFonts w:ascii="Times New Roman" w:eastAsia="Times New Roman" w:hAnsi="Times New Roman" w:cs="Times New Roman"/>
                <w:sz w:val="20"/>
                <w:szCs w:val="20"/>
              </w:rPr>
              <w:t>nimations accessible via screenings or QR scans; and 4 interactive app games which help visitors engage with the themes. Its newest edition is available in three different in-person versions as well as a</w:t>
            </w:r>
            <w:hyperlink r:id="rId40">
              <w:r>
                <w:rPr>
                  <w:rFonts w:ascii="Times New Roman" w:eastAsia="Times New Roman" w:hAnsi="Times New Roman" w:cs="Times New Roman"/>
                  <w:sz w:val="20"/>
                  <w:szCs w:val="20"/>
                </w:rPr>
                <w:t xml:space="preserve"> </w:t>
              </w:r>
            </w:hyperlink>
            <w:hyperlink r:id="rId41">
              <w:r>
                <w:rPr>
                  <w:rFonts w:ascii="Times New Roman" w:eastAsia="Times New Roman" w:hAnsi="Times New Roman" w:cs="Times New Roman"/>
                  <w:color w:val="1155CC"/>
                  <w:sz w:val="20"/>
                  <w:szCs w:val="20"/>
                  <w:u w:val="single"/>
                </w:rPr>
                <w:t>digital one</w:t>
              </w:r>
            </w:hyperlink>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The materials can be downloaded to facilitate the campaign outreach:</w:t>
            </w:r>
          </w:p>
          <w:p w14:paraId="6A983782" w14:textId="77777777" w:rsidR="007356D6" w:rsidRDefault="00D7602D">
            <w:pPr>
              <w:spacing w:before="240" w:after="240"/>
              <w:ind w:left="70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hyperlink r:id="rId42">
              <w:r>
                <w:rPr>
                  <w:rFonts w:ascii="Times New Roman" w:eastAsia="Times New Roman" w:hAnsi="Times New Roman" w:cs="Times New Roman"/>
                  <w:sz w:val="14"/>
                  <w:szCs w:val="14"/>
                </w:rPr>
                <w:t xml:space="preserve"> </w:t>
              </w:r>
            </w:hyperlink>
            <w:hyperlink r:id="rId43">
              <w:r>
                <w:rPr>
                  <w:rFonts w:ascii="Times New Roman" w:eastAsia="Times New Roman" w:hAnsi="Times New Roman" w:cs="Times New Roman"/>
                  <w:color w:val="1155CC"/>
                  <w:sz w:val="20"/>
                  <w:szCs w:val="20"/>
                  <w:u w:val="single"/>
                </w:rPr>
                <w:t>Poster</w:t>
              </w:r>
            </w:hyperlink>
            <w:r>
              <w:rPr>
                <w:rFonts w:ascii="Times New Roman" w:eastAsia="Times New Roman" w:hAnsi="Times New Roman" w:cs="Times New Roman"/>
                <w:sz w:val="20"/>
                <w:szCs w:val="20"/>
              </w:rPr>
              <w:t>: ideal for gal</w:t>
            </w:r>
            <w:r>
              <w:rPr>
                <w:rFonts w:ascii="Times New Roman" w:eastAsia="Times New Roman" w:hAnsi="Times New Roman" w:cs="Times New Roman"/>
                <w:sz w:val="20"/>
                <w:szCs w:val="20"/>
              </w:rPr>
              <w:t>lery spaces, libraries, and conferences (75x75cm, 150x75cm)</w:t>
            </w:r>
          </w:p>
          <w:p w14:paraId="6C9662DF" w14:textId="77777777" w:rsidR="007356D6" w:rsidRDefault="00D7602D">
            <w:pPr>
              <w:spacing w:before="240" w:after="240"/>
              <w:ind w:left="70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hyperlink r:id="rId44">
              <w:r>
                <w:rPr>
                  <w:rFonts w:ascii="Times New Roman" w:eastAsia="Times New Roman" w:hAnsi="Times New Roman" w:cs="Times New Roman"/>
                  <w:sz w:val="14"/>
                  <w:szCs w:val="14"/>
                </w:rPr>
                <w:t xml:space="preserve"> </w:t>
              </w:r>
            </w:hyperlink>
            <w:hyperlink r:id="rId45">
              <w:r>
                <w:rPr>
                  <w:rFonts w:ascii="Times New Roman" w:eastAsia="Times New Roman" w:hAnsi="Times New Roman" w:cs="Times New Roman"/>
                  <w:color w:val="1155CC"/>
                  <w:sz w:val="20"/>
                  <w:szCs w:val="20"/>
                  <w:u w:val="single"/>
                </w:rPr>
                <w:t>Easyprint</w:t>
              </w:r>
            </w:hyperlink>
            <w:r>
              <w:rPr>
                <w:rFonts w:ascii="Times New Roman" w:eastAsia="Times New Roman" w:hAnsi="Times New Roman" w:cs="Times New Roman"/>
                <w:sz w:val="20"/>
                <w:szCs w:val="20"/>
              </w:rPr>
              <w:t>: low-cost, accessible design printed on A3 and A4 sheets of paper, ideal to be hosted in classrooms</w:t>
            </w:r>
          </w:p>
          <w:p w14:paraId="605BED63" w14:textId="77777777" w:rsidR="007356D6" w:rsidRDefault="00D7602D">
            <w:pPr>
              <w:spacing w:before="240" w:after="240"/>
              <w:ind w:left="70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hyperlink r:id="rId46">
              <w:r>
                <w:rPr>
                  <w:rFonts w:ascii="Times New Roman" w:eastAsia="Times New Roman" w:hAnsi="Times New Roman" w:cs="Times New Roman"/>
                  <w:sz w:val="14"/>
                  <w:szCs w:val="14"/>
                </w:rPr>
                <w:t xml:space="preserve"> </w:t>
              </w:r>
            </w:hyperlink>
            <w:hyperlink r:id="rId47">
              <w:r>
                <w:rPr>
                  <w:rFonts w:ascii="Times New Roman" w:eastAsia="Times New Roman" w:hAnsi="Times New Roman" w:cs="Times New Roman"/>
                  <w:color w:val="1155CC"/>
                  <w:sz w:val="20"/>
                  <w:szCs w:val="20"/>
                  <w:u w:val="single"/>
                </w:rPr>
                <w:t>Outdoor</w:t>
              </w:r>
            </w:hyperlink>
            <w:r>
              <w:rPr>
                <w:rFonts w:ascii="Times New Roman" w:eastAsia="Times New Roman" w:hAnsi="Times New Roman" w:cs="Times New Roman"/>
                <w:sz w:val="20"/>
                <w:szCs w:val="20"/>
              </w:rPr>
              <w:t>: large banners printed on PVC to be mounted on metal fencing and displayed in open-air events (340x173cm)</w:t>
            </w:r>
          </w:p>
          <w:p w14:paraId="41AEC9DA" w14:textId="77777777" w:rsidR="007356D6" w:rsidRDefault="00D7602D">
            <w:pPr>
              <w:spacing w:before="240" w:after="240"/>
              <w:ind w:left="70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hyperlink r:id="rId48">
              <w:r>
                <w:rPr>
                  <w:rFonts w:ascii="Times New Roman" w:eastAsia="Times New Roman" w:hAnsi="Times New Roman" w:cs="Times New Roman"/>
                  <w:sz w:val="14"/>
                  <w:szCs w:val="14"/>
                </w:rPr>
                <w:t xml:space="preserve"> </w:t>
              </w:r>
            </w:hyperlink>
            <w:hyperlink r:id="rId49">
              <w:r>
                <w:rPr>
                  <w:rFonts w:ascii="Times New Roman" w:eastAsia="Times New Roman" w:hAnsi="Times New Roman" w:cs="Times New Roman"/>
                  <w:color w:val="1155CC"/>
                  <w:sz w:val="20"/>
                  <w:szCs w:val="20"/>
                  <w:u w:val="single"/>
                </w:rPr>
                <w:t>Data Detox Kit</w:t>
              </w:r>
            </w:hyperlink>
            <w:r>
              <w:rPr>
                <w:rFonts w:ascii="Times New Roman" w:eastAsia="Times New Roman" w:hAnsi="Times New Roman" w:cs="Times New Roman"/>
                <w:sz w:val="20"/>
                <w:szCs w:val="20"/>
              </w:rPr>
              <w:t>: reveals different ways misinformation disguises itself and gives the user practical tips on how to find verifiable information on the i</w:t>
            </w:r>
            <w:r>
              <w:rPr>
                <w:rFonts w:ascii="Times New Roman" w:eastAsia="Times New Roman" w:hAnsi="Times New Roman" w:cs="Times New Roman"/>
                <w:sz w:val="20"/>
                <w:szCs w:val="20"/>
              </w:rPr>
              <w:t>nternet.</w:t>
            </w:r>
          </w:p>
          <w:p w14:paraId="698296B2"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1DC1716"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Anyone can host</w:t>
            </w:r>
            <w:hyperlink r:id="rId50">
              <w:r>
                <w:rPr>
                  <w:rFonts w:ascii="Times New Roman" w:eastAsia="Times New Roman" w:hAnsi="Times New Roman" w:cs="Times New Roman"/>
                  <w:sz w:val="20"/>
                  <w:szCs w:val="20"/>
                </w:rPr>
                <w:t xml:space="preserve"> </w:t>
              </w:r>
            </w:hyperlink>
            <w:hyperlink r:id="rId51">
              <w:r>
                <w:rPr>
                  <w:rFonts w:ascii="Times New Roman" w:eastAsia="Times New Roman" w:hAnsi="Times New Roman" w:cs="Times New Roman"/>
                  <w:color w:val="1155CC"/>
                  <w:sz w:val="20"/>
                  <w:szCs w:val="20"/>
                  <w:u w:val="single"/>
                </w:rPr>
                <w:t>workshops</w:t>
              </w:r>
            </w:hyperlink>
            <w:r>
              <w:rPr>
                <w:rFonts w:ascii="Times New Roman" w:eastAsia="Times New Roman" w:hAnsi="Times New Roman" w:cs="Times New Roman"/>
                <w:sz w:val="20"/>
                <w:szCs w:val="20"/>
              </w:rPr>
              <w:t xml:space="preserve"> using the resources to help engage communities in questioning its engagement with technology.</w:t>
            </w:r>
          </w:p>
        </w:tc>
      </w:tr>
      <w:tr w:rsidR="007356D6" w14:paraId="4D176F26" w14:textId="77777777">
        <w:trPr>
          <w:trHeight w:val="52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05CE80B"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Results / Impact / Lessons learned (what worked / remaining challenges)</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73ECC68"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 far, there have been over 471 Glass Room events across 61 countries all around the world, reaching over 352,000 people – with many more planned in 2023. When someone hosts a Glass R</w:t>
            </w:r>
            <w:r>
              <w:rPr>
                <w:rFonts w:ascii="Times New Roman" w:eastAsia="Times New Roman" w:hAnsi="Times New Roman" w:cs="Times New Roman"/>
                <w:sz w:val="20"/>
                <w:szCs w:val="20"/>
              </w:rPr>
              <w:t xml:space="preserve">oom Community Edition event, they join a global conversation on data and privacy. </w:t>
            </w:r>
            <w:r>
              <w:rPr>
                <w:rFonts w:ascii="Times New Roman" w:eastAsia="Times New Roman" w:hAnsi="Times New Roman" w:cs="Times New Roman"/>
                <w:sz w:val="20"/>
                <w:szCs w:val="20"/>
                <w:highlight w:val="white"/>
              </w:rPr>
              <w:t>During the week of the exhibition, some libraries organised several virtual workshops accompanying the events; nearly a hundred people attended each of these. Feedback from p</w:t>
            </w:r>
            <w:r>
              <w:rPr>
                <w:rFonts w:ascii="Times New Roman" w:eastAsia="Times New Roman" w:hAnsi="Times New Roman" w:cs="Times New Roman"/>
                <w:sz w:val="20"/>
                <w:szCs w:val="20"/>
                <w:highlight w:val="white"/>
              </w:rPr>
              <w:t>articipants suggested that some things they heard and saw during these events – for example around covert advertising – were completely new to them, something they have never considered before. Participants also mentioned that it was an important realisati</w:t>
            </w:r>
            <w:r>
              <w:rPr>
                <w:rFonts w:ascii="Times New Roman" w:eastAsia="Times New Roman" w:hAnsi="Times New Roman" w:cs="Times New Roman"/>
                <w:sz w:val="20"/>
                <w:szCs w:val="20"/>
                <w:highlight w:val="white"/>
              </w:rPr>
              <w:t>on for them – understanding just how strongly social media and the web are affecting their daily lives</w:t>
            </w:r>
            <w:r>
              <w:rPr>
                <w:rFonts w:ascii="Times New Roman" w:eastAsia="Times New Roman" w:hAnsi="Times New Roman" w:cs="Times New Roman"/>
                <w:sz w:val="20"/>
                <w:szCs w:val="20"/>
              </w:rPr>
              <w:t>.</w:t>
            </w:r>
          </w:p>
          <w:p w14:paraId="4F348686"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D19AD3B" w14:textId="77777777" w:rsidR="007356D6" w:rsidRDefault="00D7602D">
            <w:pPr>
              <w:shd w:val="clear" w:color="auto" w:fill="FFFFFF"/>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Overall, the interest from visitors and their feedback have once again shown that it is important to speak about information, misinformation, digital </w:t>
            </w:r>
            <w:r>
              <w:rPr>
                <w:rFonts w:ascii="Times New Roman" w:eastAsia="Times New Roman" w:hAnsi="Times New Roman" w:cs="Times New Roman"/>
                <w:sz w:val="20"/>
                <w:szCs w:val="20"/>
              </w:rPr>
              <w:t>design tricks. People should get reliable information, and the library is a good source. This experience has only confirmed the fact that libraries are ready to be actively involved in raising public competences in the field of media and information litera</w:t>
            </w:r>
            <w:r>
              <w:rPr>
                <w:rFonts w:ascii="Times New Roman" w:eastAsia="Times New Roman" w:hAnsi="Times New Roman" w:cs="Times New Roman"/>
                <w:sz w:val="20"/>
                <w:szCs w:val="20"/>
              </w:rPr>
              <w:t>cy. A very useful and proven solution in these circumstances was to organise a combined exhibition – matching a physical with a virtual exhibition. It was also helpful that the format of the physical exhibition was flexible and easily adaptable to differen</w:t>
            </w:r>
            <w:r>
              <w:rPr>
                <w:rFonts w:ascii="Times New Roman" w:eastAsia="Times New Roman" w:hAnsi="Times New Roman" w:cs="Times New Roman"/>
                <w:sz w:val="20"/>
                <w:szCs w:val="20"/>
              </w:rPr>
              <w:t>t rooms.</w:t>
            </w:r>
          </w:p>
        </w:tc>
      </w:tr>
      <w:tr w:rsidR="007356D6" w14:paraId="570E0F6A" w14:textId="77777777">
        <w:trPr>
          <w:trHeight w:val="450"/>
        </w:trPr>
        <w:tc>
          <w:tcPr>
            <w:tcW w:w="9637" w:type="dxa"/>
            <w:gridSpan w:val="2"/>
            <w:tcBorders>
              <w:top w:val="nil"/>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170FDFEC" w14:textId="77777777" w:rsidR="007356D6" w:rsidRDefault="00D7602D">
            <w:pPr>
              <w:spacing w:before="240" w:after="240"/>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 available</w:t>
            </w:r>
          </w:p>
        </w:tc>
      </w:tr>
      <w:tr w:rsidR="007356D6" w14:paraId="66ABC3AD" w14:textId="77777777">
        <w:trPr>
          <w:trHeight w:val="69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1723591"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57DD046"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results have been very positive so far</w:t>
            </w:r>
          </w:p>
        </w:tc>
      </w:tr>
      <w:tr w:rsidR="007356D6" w14:paraId="5F7CD7A2" w14:textId="77777777">
        <w:trPr>
          <w:trHeight w:val="93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67EB12A"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55F98FD" w14:textId="77777777" w:rsidR="007356D6" w:rsidRDefault="00D7602D">
            <w:pPr>
              <w:spacing w:before="240" w:after="24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Covid-19 issues, </w:t>
            </w:r>
            <w:r>
              <w:rPr>
                <w:rFonts w:ascii="Times New Roman" w:eastAsia="Times New Roman" w:hAnsi="Times New Roman" w:cs="Times New Roman"/>
                <w:sz w:val="20"/>
                <w:szCs w:val="20"/>
                <w:highlight w:val="white"/>
              </w:rPr>
              <w:t>unfortunately, limited the number of people at physical events. Our solution was to apply the same rules as for wider library visits – limiting group sizes and instructing visitors to wear masks.</w:t>
            </w:r>
          </w:p>
        </w:tc>
      </w:tr>
      <w:tr w:rsidR="007356D6" w14:paraId="21DD249E" w14:textId="77777777">
        <w:trPr>
          <w:trHeight w:val="117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36944C2"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87F9754"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it is much easier to expand on these solutions in 2023</w:t>
            </w:r>
          </w:p>
        </w:tc>
      </w:tr>
      <w:tr w:rsidR="007356D6" w14:paraId="1941D38D" w14:textId="77777777">
        <w:trPr>
          <w:trHeight w:val="117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BD29698"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8E80CDA"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in the above-mentioned countries, but also in other projects with a similar focus, again in collaboration with Tactical Tech.</w:t>
            </w:r>
          </w:p>
        </w:tc>
      </w:tr>
      <w:tr w:rsidR="007356D6" w14:paraId="61084447"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D5D7F39"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6E66D9F"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Expanding exhibition to other countries and libraries</w:t>
            </w:r>
          </w:p>
        </w:tc>
      </w:tr>
      <w:tr w:rsidR="007356D6" w14:paraId="352F3653"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53037A1"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New challenges:</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5D2DB2D"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4BC43263"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F43D40F"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82B2F59"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Kickstarting new projects on Digital Literacy and Digital and Green Transitions</w:t>
            </w:r>
          </w:p>
        </w:tc>
      </w:tr>
      <w:tr w:rsidR="007356D6" w14:paraId="34BC1EEA" w14:textId="77777777">
        <w:trPr>
          <w:trHeight w:val="450"/>
        </w:trPr>
        <w:tc>
          <w:tcPr>
            <w:tcW w:w="9637"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0CDDDA0" w14:textId="77777777" w:rsidR="007356D6" w:rsidRDefault="00D7602D">
            <w:pPr>
              <w:spacing w:line="240" w:lineRule="auto"/>
              <w:jc w:val="center"/>
              <w:rPr>
                <w:b/>
              </w:rPr>
            </w:pPr>
            <w:r>
              <w:rPr>
                <w:b/>
              </w:rPr>
              <w:t xml:space="preserve">Follow-up for 2024 available on </w:t>
            </w:r>
            <w:r>
              <w:rPr>
                <w:b/>
                <w:highlight w:val="green"/>
              </w:rPr>
              <w:t>[write date]</w:t>
            </w:r>
          </w:p>
        </w:tc>
      </w:tr>
      <w:tr w:rsidR="007356D6" w14:paraId="1DCFE9B3"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FFABE0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5966F7"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(partial, fully; include numbers when possible) </w:t>
            </w:r>
          </w:p>
        </w:tc>
      </w:tr>
      <w:tr w:rsidR="007356D6" w14:paraId="0A291063"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4534F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0CF53E"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A5AE5A5"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46656A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17BA82"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ED21313"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28AB4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40AA4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FBC25F9"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C32CE9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2B6486"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7FDE12F1"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098B4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305FF4"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287E5C21"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58998B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B3A2EF"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50232539"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2A12566"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247180"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6F57E0DC" w14:textId="77777777" w:rsidR="007356D6" w:rsidRDefault="007356D6">
      <w:pPr>
        <w:spacing w:after="240"/>
        <w:jc w:val="both"/>
        <w:rPr>
          <w:rFonts w:ascii="Times New Roman" w:eastAsia="Times New Roman" w:hAnsi="Times New Roman" w:cs="Times New Roman"/>
          <w:b/>
          <w:sz w:val="24"/>
          <w:szCs w:val="24"/>
        </w:rPr>
      </w:pPr>
    </w:p>
    <w:p w14:paraId="195A3A01" w14:textId="77777777" w:rsidR="007356D6" w:rsidRDefault="007356D6">
      <w:pPr>
        <w:spacing w:after="240"/>
        <w:jc w:val="both"/>
        <w:rPr>
          <w:rFonts w:ascii="Times New Roman" w:eastAsia="Times New Roman" w:hAnsi="Times New Roman" w:cs="Times New Roman"/>
          <w:b/>
          <w:sz w:val="24"/>
          <w:szCs w:val="24"/>
        </w:rPr>
      </w:pPr>
    </w:p>
    <w:p w14:paraId="3570095D" w14:textId="77777777" w:rsidR="007356D6" w:rsidRDefault="007356D6">
      <w:pPr>
        <w:spacing w:after="240"/>
        <w:jc w:val="both"/>
        <w:rPr>
          <w:rFonts w:ascii="Times New Roman" w:eastAsia="Times New Roman" w:hAnsi="Times New Roman" w:cs="Times New Roman"/>
          <w:b/>
          <w:sz w:val="24"/>
          <w:szCs w:val="24"/>
        </w:rPr>
      </w:pPr>
    </w:p>
    <w:p w14:paraId="2623F5D3" w14:textId="77777777" w:rsidR="007356D6" w:rsidRDefault="00D7602D">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2022 selected cases:</w:t>
      </w:r>
    </w:p>
    <w:p w14:paraId="4C9A6C9A" w14:textId="77777777" w:rsidR="007356D6" w:rsidRDefault="007356D6">
      <w:pPr>
        <w:spacing w:line="240" w:lineRule="auto"/>
        <w:rPr>
          <w:rFonts w:ascii="Times New Roman" w:eastAsia="Times New Roman" w:hAnsi="Times New Roman" w:cs="Times New Roman"/>
        </w:rPr>
      </w:pPr>
    </w:p>
    <w:tbl>
      <w:tblPr>
        <w:tblStyle w:val="aff1"/>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0A82D19D" w14:textId="77777777">
        <w:trPr>
          <w:trHeight w:val="420"/>
        </w:trPr>
        <w:tc>
          <w:tcPr>
            <w:tcW w:w="1014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B453EB0"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2022 selected case</w:t>
            </w:r>
          </w:p>
        </w:tc>
      </w:tr>
      <w:tr w:rsidR="007356D6" w14:paraId="268602BF" w14:textId="77777777">
        <w:trPr>
          <w:trHeight w:val="420"/>
        </w:trPr>
        <w:tc>
          <w:tcPr>
            <w:tcW w:w="2391" w:type="dxa"/>
            <w:shd w:val="clear" w:color="auto" w:fill="CFE2F3"/>
            <w:tcMar>
              <w:top w:w="100" w:type="dxa"/>
              <w:left w:w="100" w:type="dxa"/>
              <w:bottom w:w="100" w:type="dxa"/>
              <w:right w:w="100" w:type="dxa"/>
            </w:tcMar>
          </w:tcPr>
          <w:p w14:paraId="57B0282F"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Case 1:</w:t>
            </w:r>
          </w:p>
        </w:tc>
        <w:tc>
          <w:tcPr>
            <w:tcW w:w="7749" w:type="dxa"/>
            <w:shd w:val="clear" w:color="auto" w:fill="CFE2F3"/>
            <w:tcMar>
              <w:top w:w="100" w:type="dxa"/>
              <w:left w:w="100" w:type="dxa"/>
              <w:bottom w:w="100" w:type="dxa"/>
              <w:right w:w="100" w:type="dxa"/>
            </w:tcMar>
          </w:tcPr>
          <w:p w14:paraId="1C027D1A" w14:textId="77777777" w:rsidR="007356D6" w:rsidRDefault="00D7602D">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Policy and Regulation Initiative for Digital Africa (PRIDA)</w:t>
            </w:r>
          </w:p>
        </w:tc>
      </w:tr>
      <w:tr w:rsidR="007356D6" w14:paraId="12171771" w14:textId="77777777">
        <w:trPr>
          <w:trHeight w:val="420"/>
        </w:trPr>
        <w:tc>
          <w:tcPr>
            <w:tcW w:w="2391" w:type="dxa"/>
            <w:shd w:val="clear" w:color="auto" w:fill="auto"/>
            <w:tcMar>
              <w:top w:w="100" w:type="dxa"/>
              <w:left w:w="100" w:type="dxa"/>
              <w:bottom w:w="100" w:type="dxa"/>
              <w:right w:w="100" w:type="dxa"/>
            </w:tcMar>
          </w:tcPr>
          <w:p w14:paraId="7E242AFB"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9" w:type="dxa"/>
            <w:shd w:val="clear" w:color="auto" w:fill="auto"/>
            <w:tcMar>
              <w:top w:w="100" w:type="dxa"/>
              <w:left w:w="100" w:type="dxa"/>
              <w:bottom w:w="100" w:type="dxa"/>
              <w:right w:w="100" w:type="dxa"/>
            </w:tcMar>
          </w:tcPr>
          <w:p w14:paraId="4C91D7F8"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Continental project implemented by the African Union Commission</w:t>
            </w:r>
          </w:p>
        </w:tc>
      </w:tr>
      <w:tr w:rsidR="007356D6" w14:paraId="29F939FE" w14:textId="77777777">
        <w:trPr>
          <w:trHeight w:val="420"/>
        </w:trPr>
        <w:tc>
          <w:tcPr>
            <w:tcW w:w="2391" w:type="dxa"/>
            <w:shd w:val="clear" w:color="auto" w:fill="auto"/>
            <w:tcMar>
              <w:top w:w="100" w:type="dxa"/>
              <w:left w:w="100" w:type="dxa"/>
              <w:bottom w:w="100" w:type="dxa"/>
              <w:right w:w="100" w:type="dxa"/>
            </w:tcMar>
          </w:tcPr>
          <w:p w14:paraId="1AEB156E"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9" w:type="dxa"/>
            <w:shd w:val="clear" w:color="auto" w:fill="auto"/>
            <w:tcMar>
              <w:top w:w="100" w:type="dxa"/>
              <w:left w:w="100" w:type="dxa"/>
              <w:bottom w:w="100" w:type="dxa"/>
              <w:right w:w="100" w:type="dxa"/>
            </w:tcMar>
          </w:tcPr>
          <w:p w14:paraId="47A1EC76" w14:textId="77777777" w:rsidR="007356D6" w:rsidRDefault="00D7602D">
            <w:pPr>
              <w:widowControl w:val="0"/>
              <w:numPr>
                <w:ilvl w:val="0"/>
                <w:numId w:val="1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Budget  - </w:t>
            </w:r>
            <w:r>
              <w:rPr>
                <w:rFonts w:ascii="Times New Roman" w:eastAsia="Times New Roman" w:hAnsi="Times New Roman" w:cs="Times New Roman"/>
                <w:color w:val="404040"/>
                <w:sz w:val="20"/>
                <w:szCs w:val="20"/>
              </w:rPr>
              <w:t>€10 million (</w:t>
            </w:r>
            <w:r>
              <w:rPr>
                <w:rFonts w:ascii="Times New Roman" w:eastAsia="Times New Roman" w:hAnsi="Times New Roman" w:cs="Times New Roman"/>
                <w:sz w:val="20"/>
                <w:szCs w:val="20"/>
              </w:rPr>
              <w:t>October 2018 - June 2023)</w:t>
            </w:r>
          </w:p>
        </w:tc>
      </w:tr>
      <w:tr w:rsidR="007356D6" w14:paraId="7A6F77D5" w14:textId="77777777">
        <w:trPr>
          <w:trHeight w:val="420"/>
        </w:trPr>
        <w:tc>
          <w:tcPr>
            <w:tcW w:w="2391" w:type="dxa"/>
            <w:shd w:val="clear" w:color="auto" w:fill="auto"/>
            <w:tcMar>
              <w:top w:w="100" w:type="dxa"/>
              <w:left w:w="100" w:type="dxa"/>
              <w:bottom w:w="100" w:type="dxa"/>
              <w:right w:w="100" w:type="dxa"/>
            </w:tcMar>
          </w:tcPr>
          <w:p w14:paraId="593297EB"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9" w:type="dxa"/>
            <w:shd w:val="clear" w:color="auto" w:fill="auto"/>
            <w:tcMar>
              <w:top w:w="100" w:type="dxa"/>
              <w:left w:w="100" w:type="dxa"/>
              <w:bottom w:w="100" w:type="dxa"/>
              <w:right w:w="100" w:type="dxa"/>
            </w:tcMar>
          </w:tcPr>
          <w:p w14:paraId="04FAF9A0"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African Union Commission</w:t>
            </w:r>
          </w:p>
          <w:p w14:paraId="2B472E24"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ITU</w:t>
            </w:r>
          </w:p>
          <w:p w14:paraId="64C1EBB3"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European Union</w:t>
            </w:r>
          </w:p>
          <w:p w14:paraId="7E7C1CF2"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African Union Member States</w:t>
            </w:r>
          </w:p>
        </w:tc>
      </w:tr>
      <w:tr w:rsidR="007356D6" w14:paraId="178BF82A" w14:textId="77777777">
        <w:trPr>
          <w:trHeight w:val="420"/>
        </w:trPr>
        <w:tc>
          <w:tcPr>
            <w:tcW w:w="2391" w:type="dxa"/>
            <w:shd w:val="clear" w:color="auto" w:fill="auto"/>
            <w:tcMar>
              <w:top w:w="100" w:type="dxa"/>
              <w:left w:w="100" w:type="dxa"/>
              <w:bottom w:w="100" w:type="dxa"/>
              <w:right w:w="100" w:type="dxa"/>
            </w:tcMar>
          </w:tcPr>
          <w:p w14:paraId="21551367"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9" w:type="dxa"/>
            <w:shd w:val="clear" w:color="auto" w:fill="auto"/>
            <w:tcMar>
              <w:top w:w="100" w:type="dxa"/>
              <w:left w:w="100" w:type="dxa"/>
              <w:bottom w:w="100" w:type="dxa"/>
              <w:right w:w="100" w:type="dxa"/>
            </w:tcMar>
          </w:tcPr>
          <w:p w14:paraId="57D614FB" w14:textId="77777777" w:rsidR="007356D6" w:rsidRDefault="00D7602D">
            <w:pPr>
              <w:widowControl w:val="0"/>
              <w:numPr>
                <w:ilvl w:val="0"/>
                <w:numId w:val="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Challenges hindering African participation in global digital policy decisions:   </w:t>
            </w:r>
          </w:p>
          <w:p w14:paraId="4AEFD4B9" w14:textId="77777777" w:rsidR="007356D6" w:rsidRDefault="00D7602D">
            <w:pPr>
              <w:widowControl w:val="0"/>
              <w:numPr>
                <w:ilvl w:val="1"/>
                <w:numId w:val="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Capacity gaps at the technical and policy level</w:t>
            </w:r>
          </w:p>
          <w:p w14:paraId="6DC09A7E" w14:textId="77777777" w:rsidR="007356D6" w:rsidRDefault="00D7602D">
            <w:pPr>
              <w:widowControl w:val="0"/>
              <w:numPr>
                <w:ilvl w:val="1"/>
                <w:numId w:val="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Lack of synergies between the national, regional and continental processes</w:t>
            </w:r>
          </w:p>
          <w:p w14:paraId="10F3B316" w14:textId="77777777" w:rsidR="007356D6" w:rsidRDefault="00D7602D">
            <w:pPr>
              <w:widowControl w:val="0"/>
              <w:numPr>
                <w:ilvl w:val="1"/>
                <w:numId w:val="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Gender gap, rural-urban divide and barriers to youth involvement in the digital space</w:t>
            </w:r>
          </w:p>
          <w:p w14:paraId="702A0843" w14:textId="77777777" w:rsidR="007356D6" w:rsidRDefault="00D7602D">
            <w:pPr>
              <w:widowControl w:val="0"/>
              <w:numPr>
                <w:ilvl w:val="1"/>
                <w:numId w:val="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 out of the 55 AU member states did not have internet governance (IG) structures as at the end of 2019</w:t>
            </w:r>
          </w:p>
        </w:tc>
      </w:tr>
      <w:tr w:rsidR="007356D6" w14:paraId="01C6D018" w14:textId="77777777">
        <w:trPr>
          <w:trHeight w:val="420"/>
        </w:trPr>
        <w:tc>
          <w:tcPr>
            <w:tcW w:w="2391" w:type="dxa"/>
            <w:shd w:val="clear" w:color="auto" w:fill="auto"/>
            <w:tcMar>
              <w:top w:w="100" w:type="dxa"/>
              <w:left w:w="100" w:type="dxa"/>
              <w:bottom w:w="100" w:type="dxa"/>
              <w:right w:w="100" w:type="dxa"/>
            </w:tcMar>
          </w:tcPr>
          <w:p w14:paraId="6FBC269E"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49" w:type="dxa"/>
            <w:shd w:val="clear" w:color="auto" w:fill="auto"/>
            <w:tcMar>
              <w:top w:w="100" w:type="dxa"/>
              <w:left w:w="100" w:type="dxa"/>
              <w:bottom w:w="100" w:type="dxa"/>
              <w:right w:w="100" w:type="dxa"/>
            </w:tcMar>
          </w:tcPr>
          <w:p w14:paraId="2022608E" w14:textId="77777777" w:rsidR="007356D6" w:rsidRDefault="00D7602D">
            <w:pPr>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PRIDA is</w:t>
            </w:r>
            <w:r>
              <w:rPr>
                <w:rFonts w:ascii="Times New Roman" w:eastAsia="Times New Roman" w:hAnsi="Times New Roman" w:cs="Times New Roman"/>
                <w:sz w:val="20"/>
                <w:szCs w:val="20"/>
              </w:rPr>
              <w:t xml:space="preserve"> responsible for below actions to build capacity of policy officers, Internet community and diplomats of Member States, strengthening the ability of African stakeholders to actively participate in the global IG processes (policy and technical debates) and </w:t>
            </w:r>
            <w:r>
              <w:rPr>
                <w:rFonts w:ascii="Times New Roman" w:eastAsia="Times New Roman" w:hAnsi="Times New Roman" w:cs="Times New Roman"/>
                <w:sz w:val="20"/>
                <w:szCs w:val="20"/>
              </w:rPr>
              <w:t>develop their negotiation skills</w:t>
            </w:r>
          </w:p>
          <w:p w14:paraId="61DEE374" w14:textId="77777777" w:rsidR="007356D6" w:rsidRDefault="00D7602D">
            <w:pPr>
              <w:numPr>
                <w:ilvl w:val="1"/>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Set up a coordinated African roadmap for addressing public policy issues on IG</w:t>
            </w:r>
          </w:p>
          <w:p w14:paraId="3EC8B800" w14:textId="77777777" w:rsidR="007356D6" w:rsidRDefault="00D7602D">
            <w:pPr>
              <w:numPr>
                <w:ilvl w:val="1"/>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Set up and promote an African Union Academia on Internet Governance to build capacity in IG, especially among youth</w:t>
            </w:r>
          </w:p>
          <w:p w14:paraId="3547B031"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Development of a strategic plan focused on supporting/creating synergies from national, regional, continental and global initiatives </w:t>
            </w:r>
          </w:p>
          <w:p w14:paraId="1A3F19A0"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curriculum was developed to support the 23 African countries in the creation of their national IG structures.   </w:t>
            </w:r>
          </w:p>
        </w:tc>
      </w:tr>
      <w:tr w:rsidR="007356D6" w14:paraId="4A9BB504" w14:textId="77777777">
        <w:trPr>
          <w:trHeight w:val="420"/>
        </w:trPr>
        <w:tc>
          <w:tcPr>
            <w:tcW w:w="2391" w:type="dxa"/>
            <w:shd w:val="clear" w:color="auto" w:fill="auto"/>
            <w:tcMar>
              <w:top w:w="100" w:type="dxa"/>
              <w:left w:w="100" w:type="dxa"/>
              <w:bottom w:w="100" w:type="dxa"/>
              <w:right w:w="100" w:type="dxa"/>
            </w:tcMar>
          </w:tcPr>
          <w:p w14:paraId="4329C857"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w:t>
            </w:r>
            <w:r>
              <w:rPr>
                <w:rFonts w:ascii="Times New Roman" w:eastAsia="Times New Roman" w:hAnsi="Times New Roman" w:cs="Times New Roman"/>
                <w:b/>
                <w:sz w:val="20"/>
                <w:szCs w:val="20"/>
              </w:rPr>
              <w:t>s / Impact / Lessons learned (what worked / remaining challenges)</w:t>
            </w:r>
          </w:p>
        </w:tc>
        <w:tc>
          <w:tcPr>
            <w:tcW w:w="7749" w:type="dxa"/>
            <w:shd w:val="clear" w:color="auto" w:fill="auto"/>
            <w:tcMar>
              <w:top w:w="100" w:type="dxa"/>
              <w:left w:w="100" w:type="dxa"/>
              <w:bottom w:w="100" w:type="dxa"/>
              <w:right w:w="100" w:type="dxa"/>
            </w:tcMar>
          </w:tcPr>
          <w:p w14:paraId="34F77E1C" w14:textId="77777777" w:rsidR="007356D6" w:rsidRDefault="00D7602D">
            <w:pPr>
              <w:widowControl w:val="0"/>
              <w:numPr>
                <w:ilvl w:val="0"/>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15ADD41D"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generic curriculum has been developed and used to support around 29 national and regional SIGs (with localised application), available in English, French and Portuguese</w:t>
            </w:r>
          </w:p>
          <w:p w14:paraId="48AF0B24"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countri</w:t>
            </w:r>
            <w:r>
              <w:rPr>
                <w:rFonts w:ascii="Times New Roman" w:eastAsia="Times New Roman" w:hAnsi="Times New Roman" w:cs="Times New Roman"/>
                <w:sz w:val="20"/>
                <w:szCs w:val="20"/>
              </w:rPr>
              <w:t>es have been supported to hold their first School of Internet Governance  (Botswana, Eswatini, Madagascar, Cape Verde, Comoros, Liberia, Egypt, Mauritania, Morocco, Ethiopia, Guinea Conakry, Seychelles, Central Africa Republic, Djibouti, Lesotho and Somali</w:t>
            </w:r>
            <w:r>
              <w:rPr>
                <w:rFonts w:ascii="Times New Roman" w:eastAsia="Times New Roman" w:hAnsi="Times New Roman" w:cs="Times New Roman"/>
                <w:sz w:val="20"/>
                <w:szCs w:val="20"/>
              </w:rPr>
              <w:t xml:space="preserve">a).  </w:t>
            </w:r>
          </w:p>
          <w:p w14:paraId="7E4B3D2A"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Of these 16 countries, 8 (Lesotho, Somalia, Eswatini, Madagascar, Botswana, Liberia, Cape Verde and Ethiopia) have subsequently been supported to hold their first National IGF. </w:t>
            </w:r>
          </w:p>
          <w:p w14:paraId="27767357"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PRIDA IG course has also been used in Togo, Uganda, Nigeria and at t</w:t>
            </w:r>
            <w:r>
              <w:rPr>
                <w:rFonts w:ascii="Times New Roman" w:eastAsia="Times New Roman" w:hAnsi="Times New Roman" w:cs="Times New Roman"/>
                <w:sz w:val="20"/>
                <w:szCs w:val="20"/>
              </w:rPr>
              <w:t>he regional IG schools of West Africa and North Africa</w:t>
            </w:r>
          </w:p>
          <w:p w14:paraId="0633867C"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collaboration with UNECA, the PRIDA IG course was used to train 80 UNECA youth volunteers who offered support during the 17th Global IGF in Ethiopia</w:t>
            </w:r>
          </w:p>
          <w:p w14:paraId="01BAE72B"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Between 2020-2022, 29 training sessions have been held using the PRIDA platform, with an average of 50 trainees per session (ca. 1,500 trained people across the continent)</w:t>
            </w:r>
          </w:p>
          <w:p w14:paraId="7A42FEDC"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PRIDA has trained around 100 trainers to replicate the knowledge</w:t>
            </w:r>
          </w:p>
          <w:p w14:paraId="77383E80"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30 people across th</w:t>
            </w:r>
            <w:r>
              <w:rPr>
                <w:rFonts w:ascii="Times New Roman" w:eastAsia="Times New Roman" w:hAnsi="Times New Roman" w:cs="Times New Roman"/>
                <w:sz w:val="20"/>
                <w:szCs w:val="20"/>
              </w:rPr>
              <w:t>e region have been trained on e-facilitation</w:t>
            </w:r>
          </w:p>
          <w:p w14:paraId="43C299BA" w14:textId="77777777" w:rsidR="007356D6" w:rsidRDefault="00D7602D">
            <w:pPr>
              <w:widowControl w:val="0"/>
              <w:numPr>
                <w:ilvl w:val="0"/>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Impact: for sustainability of the course, PRIDA is collaborating with </w:t>
            </w:r>
            <w:r>
              <w:rPr>
                <w:rFonts w:ascii="Times New Roman" w:eastAsia="Times New Roman" w:hAnsi="Times New Roman" w:cs="Times New Roman"/>
                <w:sz w:val="20"/>
                <w:szCs w:val="20"/>
                <w:highlight w:val="white"/>
              </w:rPr>
              <w:t>The Pan African University Institute for Governance, Humanities and Social Sciences (</w:t>
            </w:r>
            <w:r>
              <w:rPr>
                <w:rFonts w:ascii="Times New Roman" w:eastAsia="Times New Roman" w:hAnsi="Times New Roman" w:cs="Times New Roman"/>
                <w:sz w:val="20"/>
                <w:szCs w:val="20"/>
              </w:rPr>
              <w:t>PAUGHSS) to offer it as an elective discipline at the Bachelors or Masters level (pilot expected in the first quarter of 2023).</w:t>
            </w:r>
          </w:p>
          <w:p w14:paraId="1B905DB2" w14:textId="77777777" w:rsidR="007356D6" w:rsidRDefault="00D7602D">
            <w:pPr>
              <w:widowControl w:val="0"/>
              <w:numPr>
                <w:ilvl w:val="0"/>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learned:</w:t>
            </w:r>
          </w:p>
          <w:p w14:paraId="0C674970"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all the training we entail to have gender balance at 50/50; progressively reaching the goal</w:t>
            </w:r>
          </w:p>
          <w:p w14:paraId="71790402"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Inclusion of all</w:t>
            </w:r>
            <w:r>
              <w:rPr>
                <w:rFonts w:ascii="Times New Roman" w:eastAsia="Times New Roman" w:hAnsi="Times New Roman" w:cs="Times New Roman"/>
                <w:sz w:val="20"/>
                <w:szCs w:val="20"/>
              </w:rPr>
              <w:t xml:space="preserve"> stakeholders and age diversity are requirements for joining the training - about 50% of the participants are expected to be below 30 years old</w:t>
            </w:r>
          </w:p>
        </w:tc>
      </w:tr>
      <w:tr w:rsidR="007356D6" w14:paraId="0164F921" w14:textId="77777777">
        <w:trPr>
          <w:trHeight w:val="420"/>
        </w:trPr>
        <w:tc>
          <w:tcPr>
            <w:tcW w:w="10140"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527C30B2" w14:textId="77777777" w:rsidR="007356D6" w:rsidRDefault="00D7602D">
            <w:pPr>
              <w:widowControl w:val="0"/>
              <w:spacing w:before="240" w:after="240"/>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2023 Follow-up</w:t>
            </w:r>
          </w:p>
        </w:tc>
      </w:tr>
      <w:tr w:rsidR="007356D6" w14:paraId="697CD6B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9B6200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AF6CF55"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the time the project closed in June 2023, there were about 35 Schools of IG held across the continent. 16 out of the 23 Countries that did not have IG structures had been supported to hold their first school of IG and about 1,500 people had been trained</w:t>
            </w:r>
            <w:r>
              <w:rPr>
                <w:rFonts w:ascii="Times New Roman" w:eastAsia="Times New Roman" w:hAnsi="Times New Roman" w:cs="Times New Roman"/>
                <w:sz w:val="20"/>
                <w:szCs w:val="20"/>
              </w:rPr>
              <w:t>. There is still a need for more people to be trained so we are far from addressing the capacity and skills gap.</w:t>
            </w:r>
          </w:p>
        </w:tc>
      </w:tr>
      <w:tr w:rsidR="007356D6" w14:paraId="677EE65C"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546233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EC0DA2E"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Sustainability of the training has not been addressed. There is a demand for the developed customised training, but there is a need to have more volunteers to support the training or a model that will ensure that the materials are being utilised effic</w:t>
            </w:r>
            <w:r>
              <w:rPr>
                <w:rFonts w:ascii="Times New Roman" w:eastAsia="Times New Roman" w:hAnsi="Times New Roman" w:cs="Times New Roman"/>
                <w:sz w:val="20"/>
                <w:szCs w:val="20"/>
              </w:rPr>
              <w:t>iently and effectively.</w:t>
            </w:r>
          </w:p>
        </w:tc>
      </w:tr>
      <w:tr w:rsidR="007356D6" w14:paraId="27427AC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A58347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4E24373" w14:textId="77777777" w:rsidR="007356D6" w:rsidRDefault="00D7602D">
            <w:pPr>
              <w:widowControl w:val="0"/>
              <w:spacing w:before="240" w:after="24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Yes, this solution is still very applicable. Re-thinking on sustainability is needed to ensure that more people benefit from the model - it util</w:t>
            </w:r>
            <w:r>
              <w:rPr>
                <w:rFonts w:ascii="Times New Roman" w:eastAsia="Times New Roman" w:hAnsi="Times New Roman" w:cs="Times New Roman"/>
                <w:sz w:val="20"/>
                <w:szCs w:val="20"/>
              </w:rPr>
              <w:t xml:space="preserve">ises youth across the continent to facilitate the trainings. </w:t>
            </w:r>
            <w:r>
              <w:rPr>
                <w:rFonts w:ascii="Times New Roman" w:eastAsia="Times New Roman" w:hAnsi="Times New Roman" w:cs="Times New Roman"/>
                <w:sz w:val="20"/>
                <w:szCs w:val="20"/>
                <w:highlight w:val="white"/>
              </w:rPr>
              <w:t>The courses developed and implemented are still very relevant going forward.</w:t>
            </w:r>
          </w:p>
        </w:tc>
      </w:tr>
      <w:tr w:rsidR="007356D6" w14:paraId="5CE6010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C6D02A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D0AA844"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solution has been used in all</w:t>
            </w:r>
            <w:r>
              <w:rPr>
                <w:rFonts w:ascii="Times New Roman" w:eastAsia="Times New Roman" w:hAnsi="Times New Roman" w:cs="Times New Roman"/>
                <w:sz w:val="20"/>
                <w:szCs w:val="20"/>
              </w:rPr>
              <w:t xml:space="preserve"> the five African regions, at the national and regional levels, in more than 30 Schools of Internet Governance (SIGs). Since it is a generic customised course, it can also be applied in other continents. The course is available in French, English and Portu</w:t>
            </w:r>
            <w:r>
              <w:rPr>
                <w:rFonts w:ascii="Times New Roman" w:eastAsia="Times New Roman" w:hAnsi="Times New Roman" w:cs="Times New Roman"/>
                <w:sz w:val="20"/>
                <w:szCs w:val="20"/>
              </w:rPr>
              <w:t>guese.</w:t>
            </w:r>
          </w:p>
        </w:tc>
      </w:tr>
      <w:tr w:rsidR="007356D6" w14:paraId="2DF7E0F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EC18E6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281F098"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project ended in June 2023.</w:t>
            </w:r>
          </w:p>
        </w:tc>
      </w:tr>
      <w:tr w:rsidR="007356D6" w14:paraId="15E773E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97D62B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A407578"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implementation was smooth all through.</w:t>
            </w:r>
          </w:p>
        </w:tc>
      </w:tr>
      <w:tr w:rsidR="007356D6" w14:paraId="00DCC39C"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555F2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530EC0F"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need to have more volunteers to conduct capacity building activities across the continent.</w:t>
            </w:r>
          </w:p>
        </w:tc>
      </w:tr>
      <w:tr w:rsidR="007356D6" w14:paraId="1AC351B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048E81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7FC07C7"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Continue with capacity building work. Encourage more people to volunteer with capacity </w:t>
            </w:r>
            <w:r>
              <w:rPr>
                <w:rFonts w:ascii="Times New Roman" w:eastAsia="Times New Roman" w:hAnsi="Times New Roman" w:cs="Times New Roman"/>
                <w:sz w:val="20"/>
                <w:szCs w:val="20"/>
              </w:rPr>
              <w:lastRenderedPageBreak/>
              <w:t>building work at varied levels.</w:t>
            </w:r>
          </w:p>
        </w:tc>
      </w:tr>
      <w:tr w:rsidR="007356D6" w14:paraId="70662416"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221E73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Other important matter(s) on the project and not covered above:</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9B002BE"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609DE971" w14:textId="77777777">
        <w:trPr>
          <w:trHeight w:val="420"/>
        </w:trPr>
        <w:tc>
          <w:tcPr>
            <w:tcW w:w="1014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98363F2" w14:textId="77777777" w:rsidR="007356D6" w:rsidRDefault="00D7602D">
            <w:pPr>
              <w:spacing w:line="240" w:lineRule="auto"/>
              <w:jc w:val="center"/>
              <w:rPr>
                <w:b/>
              </w:rPr>
            </w:pPr>
            <w:r>
              <w:rPr>
                <w:b/>
              </w:rPr>
              <w:t xml:space="preserve">2024 Follow-up on </w:t>
            </w:r>
            <w:r>
              <w:rPr>
                <w:b/>
                <w:highlight w:val="green"/>
              </w:rPr>
              <w:t>[write date]</w:t>
            </w:r>
          </w:p>
        </w:tc>
      </w:tr>
      <w:tr w:rsidR="007356D6" w14:paraId="6E40562B"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5118C8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49409B" w14:textId="77777777" w:rsidR="007356D6" w:rsidRDefault="00D7602D">
            <w:pPr>
              <w:numPr>
                <w:ilvl w:val="0"/>
                <w:numId w:val="3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3B8DE5B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536A3F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3DD7D6"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6093B7F"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DB16C9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9F22DD"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8DE38F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B3C4E5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w:t>
            </w:r>
            <w:r>
              <w:rPr>
                <w:rFonts w:ascii="Times New Roman" w:eastAsia="Times New Roman" w:hAnsi="Times New Roman" w:cs="Times New Roman"/>
                <w:b/>
                <w:sz w:val="20"/>
                <w:szCs w:val="20"/>
              </w:rPr>
              <w:t xml:space="preserve"> so, please share examples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96BD04"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A2B126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03D298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6F4EB3"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57BFFEEA"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16CE3F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7139B8"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42A3E03"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BA3444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7E4502"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A8F8ADF"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399BC3B"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D6CD52"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2FCF5CD0" w14:textId="77777777" w:rsidR="007356D6" w:rsidRDefault="007356D6">
      <w:pPr>
        <w:spacing w:line="240" w:lineRule="auto"/>
        <w:rPr>
          <w:rFonts w:ascii="Times New Roman" w:eastAsia="Times New Roman" w:hAnsi="Times New Roman" w:cs="Times New Roman"/>
        </w:rPr>
      </w:pPr>
    </w:p>
    <w:p w14:paraId="41285C32" w14:textId="77777777" w:rsidR="007356D6" w:rsidRDefault="00D7602D">
      <w:pPr>
        <w:spacing w:line="240" w:lineRule="auto"/>
        <w:rPr>
          <w:rFonts w:ascii="Times New Roman" w:eastAsia="Times New Roman" w:hAnsi="Times New Roman" w:cs="Times New Roman"/>
          <w:b/>
          <w:color w:val="3C78D8"/>
          <w:sz w:val="26"/>
          <w:szCs w:val="26"/>
        </w:rPr>
      </w:pPr>
      <w:r>
        <w:br w:type="page"/>
      </w:r>
    </w:p>
    <w:p w14:paraId="4465D2B0" w14:textId="77777777" w:rsidR="007356D6" w:rsidRDefault="007356D6"/>
    <w:tbl>
      <w:tblPr>
        <w:tblStyle w:val="aff2"/>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5B18413A" w14:textId="77777777">
        <w:trPr>
          <w:trHeight w:val="420"/>
        </w:trPr>
        <w:tc>
          <w:tcPr>
            <w:tcW w:w="1014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15092B1"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2022 selected case</w:t>
            </w:r>
          </w:p>
        </w:tc>
      </w:tr>
      <w:tr w:rsidR="007356D6" w14:paraId="537C5F98" w14:textId="77777777">
        <w:trPr>
          <w:trHeight w:val="420"/>
        </w:trPr>
        <w:tc>
          <w:tcPr>
            <w:tcW w:w="2391" w:type="dxa"/>
            <w:shd w:val="clear" w:color="auto" w:fill="CFE2F3"/>
            <w:tcMar>
              <w:top w:w="100" w:type="dxa"/>
              <w:left w:w="100" w:type="dxa"/>
              <w:bottom w:w="100" w:type="dxa"/>
              <w:right w:w="100" w:type="dxa"/>
            </w:tcMar>
          </w:tcPr>
          <w:p w14:paraId="4C8B3F5D"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Case 2:</w:t>
            </w:r>
          </w:p>
        </w:tc>
        <w:tc>
          <w:tcPr>
            <w:tcW w:w="7749" w:type="dxa"/>
            <w:shd w:val="clear" w:color="auto" w:fill="CFE2F3"/>
            <w:tcMar>
              <w:top w:w="100" w:type="dxa"/>
              <w:left w:w="100" w:type="dxa"/>
              <w:bottom w:w="100" w:type="dxa"/>
              <w:right w:w="100" w:type="dxa"/>
            </w:tcMar>
          </w:tcPr>
          <w:p w14:paraId="150A9ED7" w14:textId="77777777" w:rsidR="007356D6" w:rsidRDefault="00D7602D">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Techio Comunitario and National Schools of Community Networks</w:t>
            </w:r>
          </w:p>
        </w:tc>
      </w:tr>
      <w:tr w:rsidR="007356D6" w14:paraId="39E4D16E" w14:textId="77777777">
        <w:trPr>
          <w:trHeight w:val="420"/>
        </w:trPr>
        <w:tc>
          <w:tcPr>
            <w:tcW w:w="2391" w:type="dxa"/>
            <w:shd w:val="clear" w:color="auto" w:fill="auto"/>
            <w:tcMar>
              <w:top w:w="100" w:type="dxa"/>
              <w:left w:w="100" w:type="dxa"/>
              <w:bottom w:w="100" w:type="dxa"/>
              <w:right w:w="100" w:type="dxa"/>
            </w:tcMar>
          </w:tcPr>
          <w:p w14:paraId="656C1A9D"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9" w:type="dxa"/>
            <w:shd w:val="clear" w:color="auto" w:fill="auto"/>
            <w:tcMar>
              <w:top w:w="100" w:type="dxa"/>
              <w:left w:w="100" w:type="dxa"/>
              <w:bottom w:w="100" w:type="dxa"/>
              <w:right w:w="100" w:type="dxa"/>
            </w:tcMar>
          </w:tcPr>
          <w:p w14:paraId="7F45F56A" w14:textId="77777777" w:rsidR="007356D6" w:rsidRDefault="00D7602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Mexico, Latin American and the Caribbean Group (GRULAC)</w:t>
            </w:r>
          </w:p>
        </w:tc>
      </w:tr>
      <w:tr w:rsidR="007356D6" w14:paraId="4A17D692" w14:textId="77777777">
        <w:trPr>
          <w:trHeight w:val="420"/>
        </w:trPr>
        <w:tc>
          <w:tcPr>
            <w:tcW w:w="2391" w:type="dxa"/>
            <w:shd w:val="clear" w:color="auto" w:fill="auto"/>
            <w:tcMar>
              <w:top w:w="100" w:type="dxa"/>
              <w:left w:w="100" w:type="dxa"/>
              <w:bottom w:w="100" w:type="dxa"/>
              <w:right w:w="100" w:type="dxa"/>
            </w:tcMar>
          </w:tcPr>
          <w:p w14:paraId="1A432E6C"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9" w:type="dxa"/>
            <w:shd w:val="clear" w:color="auto" w:fill="auto"/>
            <w:tcMar>
              <w:top w:w="100" w:type="dxa"/>
              <w:left w:w="100" w:type="dxa"/>
              <w:bottom w:w="100" w:type="dxa"/>
              <w:right w:w="100" w:type="dxa"/>
            </w:tcMar>
          </w:tcPr>
          <w:p w14:paraId="1E58A753" w14:textId="77777777" w:rsidR="007356D6" w:rsidRDefault="00D7602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2D1FF441" w14:textId="77777777">
        <w:trPr>
          <w:trHeight w:val="420"/>
        </w:trPr>
        <w:tc>
          <w:tcPr>
            <w:tcW w:w="2391" w:type="dxa"/>
            <w:shd w:val="clear" w:color="auto" w:fill="auto"/>
            <w:tcMar>
              <w:top w:w="100" w:type="dxa"/>
              <w:left w:w="100" w:type="dxa"/>
              <w:bottom w:w="100" w:type="dxa"/>
              <w:right w:w="100" w:type="dxa"/>
            </w:tcMar>
          </w:tcPr>
          <w:p w14:paraId="0F8F7A74"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9" w:type="dxa"/>
            <w:shd w:val="clear" w:color="auto" w:fill="auto"/>
            <w:tcMar>
              <w:top w:w="100" w:type="dxa"/>
              <w:left w:w="100" w:type="dxa"/>
              <w:bottom w:w="100" w:type="dxa"/>
              <w:right w:w="100" w:type="dxa"/>
            </w:tcMar>
          </w:tcPr>
          <w:p w14:paraId="0E597EB3"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Rhizomatica Communications</w:t>
            </w:r>
          </w:p>
          <w:p w14:paraId="1A5E423E"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APC</w:t>
            </w:r>
          </w:p>
        </w:tc>
      </w:tr>
      <w:tr w:rsidR="007356D6" w14:paraId="74A56975" w14:textId="77777777">
        <w:trPr>
          <w:trHeight w:val="420"/>
        </w:trPr>
        <w:tc>
          <w:tcPr>
            <w:tcW w:w="2391" w:type="dxa"/>
            <w:shd w:val="clear" w:color="auto" w:fill="auto"/>
            <w:tcMar>
              <w:top w:w="100" w:type="dxa"/>
              <w:left w:w="100" w:type="dxa"/>
              <w:bottom w:w="100" w:type="dxa"/>
              <w:right w:w="100" w:type="dxa"/>
            </w:tcMar>
          </w:tcPr>
          <w:p w14:paraId="3DEA3023"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9" w:type="dxa"/>
            <w:shd w:val="clear" w:color="auto" w:fill="auto"/>
            <w:tcMar>
              <w:top w:w="100" w:type="dxa"/>
              <w:left w:w="100" w:type="dxa"/>
              <w:bottom w:w="100" w:type="dxa"/>
              <w:right w:w="100" w:type="dxa"/>
            </w:tcMar>
          </w:tcPr>
          <w:p w14:paraId="5C459657" w14:textId="77777777" w:rsidR="007356D6" w:rsidRDefault="00D7602D">
            <w:pPr>
              <w:widowControl w:val="0"/>
              <w:numPr>
                <w:ilvl w:val="0"/>
                <w:numId w:val="3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Low technical skills (installation, operation and maintenance of CNs) of the indigenous communicators that live in remote areas. </w:t>
            </w:r>
          </w:p>
        </w:tc>
      </w:tr>
      <w:tr w:rsidR="007356D6" w14:paraId="5B679864" w14:textId="77777777">
        <w:trPr>
          <w:trHeight w:val="420"/>
        </w:trPr>
        <w:tc>
          <w:tcPr>
            <w:tcW w:w="2391" w:type="dxa"/>
            <w:shd w:val="clear" w:color="auto" w:fill="auto"/>
            <w:tcMar>
              <w:top w:w="100" w:type="dxa"/>
              <w:left w:w="100" w:type="dxa"/>
              <w:bottom w:w="100" w:type="dxa"/>
              <w:right w:w="100" w:type="dxa"/>
            </w:tcMar>
          </w:tcPr>
          <w:p w14:paraId="08CBB640"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49" w:type="dxa"/>
            <w:shd w:val="clear" w:color="auto" w:fill="auto"/>
            <w:tcMar>
              <w:top w:w="100" w:type="dxa"/>
              <w:left w:w="100" w:type="dxa"/>
              <w:bottom w:w="100" w:type="dxa"/>
              <w:right w:w="100" w:type="dxa"/>
            </w:tcMar>
          </w:tcPr>
          <w:p w14:paraId="0A1B7BC3" w14:textId="77777777" w:rsidR="007356D6" w:rsidRDefault="00D7602D">
            <w:pPr>
              <w:widowControl w:val="0"/>
              <w:numPr>
                <w:ilvl w:val="0"/>
                <w:numId w:val="4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Design of a comprehensive training programme to address the priority issues stated by indigenous communicators, based on the Participatory Action Research (PAR) methodology, as well as the pedagogies practised in the ways of learning and sharing knowledge </w:t>
            </w:r>
            <w:r>
              <w:rPr>
                <w:rFonts w:ascii="Times New Roman" w:eastAsia="Times New Roman" w:hAnsi="Times New Roman" w:cs="Times New Roman"/>
                <w:sz w:val="20"/>
                <w:szCs w:val="20"/>
              </w:rPr>
              <w:t>that occur in indigenous territories</w:t>
            </w:r>
          </w:p>
        </w:tc>
      </w:tr>
      <w:tr w:rsidR="007356D6" w14:paraId="440EBD22" w14:textId="77777777">
        <w:trPr>
          <w:trHeight w:val="420"/>
        </w:trPr>
        <w:tc>
          <w:tcPr>
            <w:tcW w:w="2391" w:type="dxa"/>
            <w:shd w:val="clear" w:color="auto" w:fill="auto"/>
            <w:tcMar>
              <w:top w:w="100" w:type="dxa"/>
              <w:left w:w="100" w:type="dxa"/>
              <w:bottom w:w="100" w:type="dxa"/>
              <w:right w:w="100" w:type="dxa"/>
            </w:tcMar>
          </w:tcPr>
          <w:p w14:paraId="304E2925"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749" w:type="dxa"/>
            <w:shd w:val="clear" w:color="auto" w:fill="auto"/>
            <w:tcMar>
              <w:top w:w="100" w:type="dxa"/>
              <w:left w:w="100" w:type="dxa"/>
              <w:bottom w:w="100" w:type="dxa"/>
              <w:right w:w="100" w:type="dxa"/>
            </w:tcMar>
          </w:tcPr>
          <w:p w14:paraId="418D2ABC" w14:textId="77777777" w:rsidR="007356D6" w:rsidRDefault="00D7602D">
            <w:pPr>
              <w:widowControl w:val="0"/>
              <w:numPr>
                <w:ilvl w:val="0"/>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 development of “Techio Comunitario”, a training programme for technical promoters in broadcasting and telecommunications from Mexico and L</w:t>
            </w:r>
            <w:r>
              <w:rPr>
                <w:rFonts w:ascii="Times New Roman" w:eastAsia="Times New Roman" w:hAnsi="Times New Roman" w:cs="Times New Roman"/>
                <w:sz w:val="20"/>
                <w:szCs w:val="20"/>
              </w:rPr>
              <w:t>atin America, to address not only technical issues, but the social and economic implications of technologies, regulation, and sustainability.</w:t>
            </w:r>
          </w:p>
          <w:p w14:paraId="5FAD5446" w14:textId="77777777" w:rsidR="007356D6" w:rsidRDefault="00D7602D">
            <w:pPr>
              <w:widowControl w:val="0"/>
              <w:numPr>
                <w:ilvl w:val="0"/>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1786E370"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Although the programme cannot be fully replicable because all pedagogical processes must be contextualised</w:t>
            </w:r>
            <w:r>
              <w:rPr>
                <w:rFonts w:ascii="Times New Roman" w:eastAsia="Times New Roman" w:hAnsi="Times New Roman" w:cs="Times New Roman"/>
                <w:sz w:val="20"/>
                <w:szCs w:val="20"/>
              </w:rPr>
              <w:t>, currently, the methodology used in the design and implementation of “Techio Comunitario” is the basis for the development of the National Schools of Community Networks in five countries of the Global South (Brazil, Indonesia, Kenya, Nigeria and South Afr</w:t>
            </w:r>
            <w:r>
              <w:rPr>
                <w:rFonts w:ascii="Times New Roman" w:eastAsia="Times New Roman" w:hAnsi="Times New Roman" w:cs="Times New Roman"/>
                <w:sz w:val="20"/>
                <w:szCs w:val="20"/>
              </w:rPr>
              <w:t>ica), through the training and mentoring from LocNET, an initiative led by the Association for Progressive Communications (APC) and Rhizomatica.</w:t>
            </w:r>
          </w:p>
          <w:p w14:paraId="2CD009A5"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main contribution of this programme has been the building of an international network of peers who have the</w:t>
            </w:r>
            <w:r>
              <w:rPr>
                <w:rFonts w:ascii="Times New Roman" w:eastAsia="Times New Roman" w:hAnsi="Times New Roman" w:cs="Times New Roman"/>
                <w:sz w:val="20"/>
                <w:szCs w:val="20"/>
              </w:rPr>
              <w:t xml:space="preserve"> knowledge and skills to install, maintain, operate and manage their telecommunications projects. Its replicability does not lie in the curricular structure of the programme, but in the methodology used for its design and implementation.</w:t>
            </w:r>
          </w:p>
        </w:tc>
      </w:tr>
      <w:tr w:rsidR="007356D6" w14:paraId="6D41C83F" w14:textId="77777777">
        <w:trPr>
          <w:trHeight w:val="394"/>
        </w:trPr>
        <w:tc>
          <w:tcPr>
            <w:tcW w:w="10140"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047A920E" w14:textId="77777777" w:rsidR="007356D6" w:rsidRDefault="00D7602D">
            <w:pPr>
              <w:widowControl w:val="0"/>
              <w:spacing w:before="240" w:after="240"/>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w:t>
            </w:r>
          </w:p>
        </w:tc>
      </w:tr>
      <w:tr w:rsidR="007356D6" w14:paraId="408B762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FAC1CB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8D552E5"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problem of low technical skills of the indigenous and rural communicators that live in remote areas was partially solved, as this program has their limits in terms of resources.</w:t>
            </w:r>
          </w:p>
          <w:p w14:paraId="0AD9F58F"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First, in Latin America the Techio Comunitar</w:t>
            </w:r>
            <w:r>
              <w:rPr>
                <w:rFonts w:ascii="Times New Roman" w:eastAsia="Times New Roman" w:hAnsi="Times New Roman" w:cs="Times New Roman"/>
                <w:sz w:val="20"/>
                <w:szCs w:val="20"/>
              </w:rPr>
              <w:t>io Program has been developed successfully with the ITU in a hybrid format. A total of 150 students from three generations have graduated from 13 countries of the region (45% are women). That is a significant number in terms also of indirect beneficiaries,</w:t>
            </w:r>
            <w:r>
              <w:rPr>
                <w:rFonts w:ascii="Times New Roman" w:eastAsia="Times New Roman" w:hAnsi="Times New Roman" w:cs="Times New Roman"/>
                <w:sz w:val="20"/>
                <w:szCs w:val="20"/>
              </w:rPr>
              <w:t xml:space="preserve"> that are those members of the communities where those graduates live or work, but still there needs to be a big impulse and continuity of this training program to impact more people and their communities. The main impact also is not in terms of numbers of</w:t>
            </w:r>
            <w:r>
              <w:rPr>
                <w:rFonts w:ascii="Times New Roman" w:eastAsia="Times New Roman" w:hAnsi="Times New Roman" w:cs="Times New Roman"/>
                <w:sz w:val="20"/>
                <w:szCs w:val="20"/>
              </w:rPr>
              <w:t xml:space="preserve"> participants, but in the consolidation of a network of technical promoters that help each other.</w:t>
            </w:r>
          </w:p>
          <w:p w14:paraId="66AE24AC"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Second, The National Schools of Community Networks (NSCNs), in Brazil, Nigeria, Kenya, South Africa and Indonesia, completed their cycles divided into three s</w:t>
            </w:r>
            <w:r>
              <w:rPr>
                <w:rFonts w:ascii="Times New Roman" w:eastAsia="Times New Roman" w:hAnsi="Times New Roman" w:cs="Times New Roman"/>
                <w:sz w:val="20"/>
                <w:szCs w:val="20"/>
              </w:rPr>
              <w:t xml:space="preserve">tages: program design, </w:t>
            </w:r>
            <w:r>
              <w:rPr>
                <w:rFonts w:ascii="Times New Roman" w:eastAsia="Times New Roman" w:hAnsi="Times New Roman" w:cs="Times New Roman"/>
                <w:sz w:val="20"/>
                <w:szCs w:val="20"/>
              </w:rPr>
              <w:lastRenderedPageBreak/>
              <w:t>training implementation, and support and mentoring of community projects. At least 21 people from 7 communities graduated from each NSCN, for a total of more than 100 graduates from these schools in the global south. The participator</w:t>
            </w:r>
            <w:r>
              <w:rPr>
                <w:rFonts w:ascii="Times New Roman" w:eastAsia="Times New Roman" w:hAnsi="Times New Roman" w:cs="Times New Roman"/>
                <w:sz w:val="20"/>
                <w:szCs w:val="20"/>
              </w:rPr>
              <w:t>y methodology implemented generated very diverse processes in the five cases and allowed for the direct strengthening of local connectivity solutions through capacity building in rural and indigenous communities.</w:t>
            </w:r>
          </w:p>
          <w:p w14:paraId="41C1BD64"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Finally, this process generated a solution </w:t>
            </w:r>
            <w:r>
              <w:rPr>
                <w:rFonts w:ascii="Times New Roman" w:eastAsia="Times New Roman" w:hAnsi="Times New Roman" w:cs="Times New Roman"/>
                <w:sz w:val="20"/>
                <w:szCs w:val="20"/>
              </w:rPr>
              <w:t>to the lack of access to useful resources for the development of community networks. This was done through the CN Learning Repository (https://cnlearning.apc.org/), which is in the consolidation phase as a Learning Management System (LMS).</w:t>
            </w:r>
          </w:p>
        </w:tc>
      </w:tr>
      <w:tr w:rsidR="007356D6" w14:paraId="7AC6D23C"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14175D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Did any new problems emerge during implementation?</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75181C2"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Training must be accompanied by the mobilisation of resources and support for community projects to become sustainable.</w:t>
            </w:r>
          </w:p>
          <w:p w14:paraId="5CEBB71B"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Hybrid and online training strategies must be improved to promote better teaching</w:t>
            </w:r>
            <w:r>
              <w:rPr>
                <w:rFonts w:ascii="Times New Roman" w:eastAsia="Times New Roman" w:hAnsi="Times New Roman" w:cs="Times New Roman"/>
                <w:sz w:val="20"/>
                <w:szCs w:val="20"/>
              </w:rPr>
              <w:t>-learning processes.</w:t>
            </w:r>
          </w:p>
          <w:p w14:paraId="59DC7986"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There is a need to train trainers in the organisations so that they are capable of developing their own training processes.</w:t>
            </w:r>
          </w:p>
          <w:p w14:paraId="7A2EE70A"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The inclusion of women and other genders continues to be a challenge, especially when it comes to technical or managerial issues.</w:t>
            </w:r>
          </w:p>
          <w:p w14:paraId="746250E8"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There is a need, particularly in Africa and Asia, for a regional initiative that can generate networks of peers who can un</w:t>
            </w:r>
            <w:r>
              <w:rPr>
                <w:rFonts w:ascii="Times New Roman" w:eastAsia="Times New Roman" w:hAnsi="Times New Roman" w:cs="Times New Roman"/>
                <w:sz w:val="20"/>
                <w:szCs w:val="20"/>
              </w:rPr>
              <w:t>dertake alternative connectivity solutions in rural and indigenous contexts.</w:t>
            </w:r>
          </w:p>
        </w:tc>
      </w:tr>
      <w:tr w:rsidR="007356D6" w14:paraId="4CE71E25"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87C2EA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F176576"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solution has been proven to work since 2016, when the Techio Comunitario program starte</w:t>
            </w:r>
            <w:r>
              <w:rPr>
                <w:rFonts w:ascii="Times New Roman" w:eastAsia="Times New Roman" w:hAnsi="Times New Roman" w:cs="Times New Roman"/>
                <w:sz w:val="20"/>
                <w:szCs w:val="20"/>
              </w:rPr>
              <w:t>d in Mexico. This solution has suffered improvements and updates in terms of curricula structure, instructor and training resources, and as we mentioned in 2022, the programme cannot be fully replicable because all pedagogical processes must be contextuali</w:t>
            </w:r>
            <w:r>
              <w:rPr>
                <w:rFonts w:ascii="Times New Roman" w:eastAsia="Times New Roman" w:hAnsi="Times New Roman" w:cs="Times New Roman"/>
                <w:sz w:val="20"/>
                <w:szCs w:val="20"/>
              </w:rPr>
              <w:t>sed, but the methodology used in the design and implementation has been the basis for other important training programs in different regions of the world. A hybrid regional training programme is therefore being developed in Africa in coordination with ITU,</w:t>
            </w:r>
            <w:r>
              <w:rPr>
                <w:rFonts w:ascii="Times New Roman" w:eastAsia="Times New Roman" w:hAnsi="Times New Roman" w:cs="Times New Roman"/>
                <w:sz w:val="20"/>
                <w:szCs w:val="20"/>
              </w:rPr>
              <w:t xml:space="preserve"> based on the one developed in LAC.</w:t>
            </w:r>
          </w:p>
          <w:p w14:paraId="0F9C25B4"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case of the NSCNs, it was possible to implement the Participatory Action Research (PAR) methodology as a strategy for the design of training programs adapted to the needs and ways of learning of the target communi</w:t>
            </w:r>
            <w:r>
              <w:rPr>
                <w:rFonts w:ascii="Times New Roman" w:eastAsia="Times New Roman" w:hAnsi="Times New Roman" w:cs="Times New Roman"/>
                <w:sz w:val="20"/>
                <w:szCs w:val="20"/>
              </w:rPr>
              <w:t>ties. This led to a series of very diverse training processes that allowed the development of local solutions with significant access that could be sustainable over time.</w:t>
            </w:r>
          </w:p>
          <w:p w14:paraId="745F28F4"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Following the methodology itself, after the completion of these training cycles, an e</w:t>
            </w:r>
            <w:r>
              <w:rPr>
                <w:rFonts w:ascii="Times New Roman" w:eastAsia="Times New Roman" w:hAnsi="Times New Roman" w:cs="Times New Roman"/>
                <w:sz w:val="20"/>
                <w:szCs w:val="20"/>
              </w:rPr>
              <w:t>valuation process is now necessary to understand the improvements to be made to the model generated. With this evaluation carried out, it will be possible to address the requests for replicability of the experience in the three regions where it has been im</w:t>
            </w:r>
            <w:r>
              <w:rPr>
                <w:rFonts w:ascii="Times New Roman" w:eastAsia="Times New Roman" w:hAnsi="Times New Roman" w:cs="Times New Roman"/>
                <w:sz w:val="20"/>
                <w:szCs w:val="20"/>
              </w:rPr>
              <w:t>plemented.</w:t>
            </w:r>
          </w:p>
          <w:p w14:paraId="01B30C2F"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relation to the repository, the space has already been generated and is being nurtured to solve the lack of access to materials related to CNs, but it needs to be consolidated as an online learning and networking space to strengthen the movement in the </w:t>
            </w:r>
            <w:r>
              <w:rPr>
                <w:rFonts w:ascii="Times New Roman" w:eastAsia="Times New Roman" w:hAnsi="Times New Roman" w:cs="Times New Roman"/>
                <w:sz w:val="20"/>
                <w:szCs w:val="20"/>
              </w:rPr>
              <w:t>global south.</w:t>
            </w:r>
          </w:p>
        </w:tc>
      </w:tr>
      <w:tr w:rsidR="007356D6" w14:paraId="21FE7DB6"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97C5EB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Was the solution scaled or localised to other regions? If so, please share examples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3497057"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Due to the visible results of the NSCNs and the training program in LAC, replication processes of the methodology have been generated in other contexts.</w:t>
            </w:r>
          </w:p>
          <w:p w14:paraId="03676A63"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Firs</w:t>
            </w:r>
            <w:r>
              <w:rPr>
                <w:rFonts w:ascii="Times New Roman" w:eastAsia="Times New Roman" w:hAnsi="Times New Roman" w:cs="Times New Roman"/>
                <w:sz w:val="20"/>
                <w:szCs w:val="20"/>
              </w:rPr>
              <w:t>t, there is a growing interest in the creation of similar programs in countries and regions such as Malawi, Francophone Africa, northern Argentina, Colombia, northern Mexico, Central America, the Philippines, etc.</w:t>
            </w:r>
          </w:p>
          <w:p w14:paraId="316914F5"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Second, the process for the replicability </w:t>
            </w:r>
            <w:r>
              <w:rPr>
                <w:rFonts w:ascii="Times New Roman" w:eastAsia="Times New Roman" w:hAnsi="Times New Roman" w:cs="Times New Roman"/>
                <w:sz w:val="20"/>
                <w:szCs w:val="20"/>
              </w:rPr>
              <w:t>in Africa of the hybrid training program developed with ITU in LAC has been started. In Q3 and Q4 of 2023 we will be developing a regional mapping and consolidating the collaboration with the ITU after the initiative was approved at the 30th meeting of the</w:t>
            </w:r>
            <w:r>
              <w:rPr>
                <w:rFonts w:ascii="Times New Roman" w:eastAsia="Times New Roman" w:hAnsi="Times New Roman" w:cs="Times New Roman"/>
                <w:sz w:val="20"/>
                <w:szCs w:val="20"/>
              </w:rPr>
              <w:t xml:space="preserve"> Telecommunication Development Advisory Group (TDAG).</w:t>
            </w:r>
          </w:p>
          <w:p w14:paraId="2755CF4D"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Finally, due to the demand for an online Learning Management System by several organisations, the CN Learning Repository is being scaled up to become an integral space for training in community networks</w:t>
            </w:r>
            <w:r>
              <w:rPr>
                <w:rFonts w:ascii="Times New Roman" w:eastAsia="Times New Roman" w:hAnsi="Times New Roman" w:cs="Times New Roman"/>
                <w:sz w:val="20"/>
                <w:szCs w:val="20"/>
              </w:rPr>
              <w:t xml:space="preserve"> and local solutions with significant access.</w:t>
            </w:r>
          </w:p>
        </w:tc>
      </w:tr>
      <w:tr w:rsidR="007356D6" w14:paraId="1606A2F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B29868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31BF4D0"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fourth generation of the LAC training program began in May 2023. A record number of applications was broken, receiving more than 700 and accepting 94 participants. This year's bootcamp will b</w:t>
            </w:r>
            <w:r>
              <w:rPr>
                <w:rFonts w:ascii="Times New Roman" w:eastAsia="Times New Roman" w:hAnsi="Times New Roman" w:cs="Times New Roman"/>
                <w:sz w:val="20"/>
                <w:szCs w:val="20"/>
              </w:rPr>
              <w:t>e held in late November in Guatemala.</w:t>
            </w:r>
          </w:p>
          <w:p w14:paraId="228BB9BD"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Closing cycles and microgrant program of the National Schools of Community Networks (January to August 2023):</w:t>
            </w:r>
          </w:p>
          <w:p w14:paraId="656149E5"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Brazil: The community communication movement in the region was strengthened thanks to the installation of </w:t>
            </w:r>
            <w:r>
              <w:rPr>
                <w:rFonts w:ascii="Times New Roman" w:eastAsia="Times New Roman" w:hAnsi="Times New Roman" w:cs="Times New Roman"/>
                <w:sz w:val="20"/>
                <w:szCs w:val="20"/>
              </w:rPr>
              <w:t>six online community radio stations, each with an Internet access point that will provide connectivity to the local population.</w:t>
            </w:r>
          </w:p>
          <w:p w14:paraId="605CC5E8"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Indonesia: Ten community projects were developed to use technology to solve local problems, from improving connectivity to the use of AI for fishing and agriculture. The support organisation is planning the Rural ICT Camp 2023, an annual event where they</w:t>
            </w:r>
            <w:r>
              <w:rPr>
                <w:rFonts w:ascii="Times New Roman" w:eastAsia="Times New Roman" w:hAnsi="Times New Roman" w:cs="Times New Roman"/>
                <w:sz w:val="20"/>
                <w:szCs w:val="20"/>
              </w:rPr>
              <w:t xml:space="preserve"> will link the NSCNs with national and international stakeholders.</w:t>
            </w:r>
          </w:p>
          <w:p w14:paraId="62214ED0"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Nigeria: Training processes were generated to address the lack of digital literacy in the communities with which they work. Projects were generated, in partnership with other organisation</w:t>
            </w:r>
            <w:r>
              <w:rPr>
                <w:rFonts w:ascii="Times New Roman" w:eastAsia="Times New Roman" w:hAnsi="Times New Roman" w:cs="Times New Roman"/>
                <w:sz w:val="20"/>
                <w:szCs w:val="20"/>
              </w:rPr>
              <w:t>s, for the installation of access points supplied with solar energy.</w:t>
            </w:r>
          </w:p>
          <w:p w14:paraId="32D9733B"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South Africa: This was the first school to complete its activities and, after almost a year of training in community project management, the graduates of the 7 supported communities pre</w:t>
            </w:r>
            <w:r>
              <w:rPr>
                <w:rFonts w:ascii="Times New Roman" w:eastAsia="Times New Roman" w:hAnsi="Times New Roman" w:cs="Times New Roman"/>
                <w:sz w:val="20"/>
                <w:szCs w:val="20"/>
              </w:rPr>
              <w:t>sented their projects to key stakeholders and potential donors in January 2023.</w:t>
            </w:r>
          </w:p>
          <w:p w14:paraId="5B2666F6"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Kenya: They developed a process of on-site accompaniment to the communities they supported, achieving the consolidation of local projects very close to the needs and lifestyl</w:t>
            </w:r>
            <w:r>
              <w:rPr>
                <w:rFonts w:ascii="Times New Roman" w:eastAsia="Times New Roman" w:hAnsi="Times New Roman" w:cs="Times New Roman"/>
                <w:sz w:val="20"/>
                <w:szCs w:val="20"/>
              </w:rPr>
              <w:t>es of the population. They are currently generating materials and courses to replicate the NSCN model in Africa.</w:t>
            </w:r>
          </w:p>
          <w:p w14:paraId="6B48E4F9"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Progress has been made in the development of a hybrid training programme for ICT network managers in Africa in collaboration with ITU. A contr</w:t>
            </w:r>
            <w:r>
              <w:rPr>
                <w:rFonts w:ascii="Times New Roman" w:eastAsia="Times New Roman" w:hAnsi="Times New Roman" w:cs="Times New Roman"/>
                <w:sz w:val="20"/>
                <w:szCs w:val="20"/>
              </w:rPr>
              <w:t>ibution to the 30th meeting of the Telecommunication Development Advisory Group (TDAG) was submitted in June 2023 and approved by the countries represented in this group. Subsequently, mapping activities of training initiatives and organisations that could</w:t>
            </w:r>
            <w:r>
              <w:rPr>
                <w:rFonts w:ascii="Times New Roman" w:eastAsia="Times New Roman" w:hAnsi="Times New Roman" w:cs="Times New Roman"/>
                <w:sz w:val="20"/>
                <w:szCs w:val="20"/>
              </w:rPr>
              <w:t xml:space="preserve"> be partners in the process have been developed.</w:t>
            </w:r>
          </w:p>
          <w:p w14:paraId="66851D17"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CN Learning Repository has more than 100 materials, mostly in Spanish and English, and has gradually grown stronger through its relationship with training programs and courses. This online learning space</w:t>
            </w:r>
            <w:r>
              <w:rPr>
                <w:rFonts w:ascii="Times New Roman" w:eastAsia="Times New Roman" w:hAnsi="Times New Roman" w:cs="Times New Roman"/>
                <w:sz w:val="20"/>
                <w:szCs w:val="20"/>
              </w:rPr>
              <w:t xml:space="preserve"> was launched in March 2023.</w:t>
            </w:r>
          </w:p>
          <w:p w14:paraId="1BB9E648"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Several spaces for reflection and advocacy have been generated in international events, such as:</w:t>
            </w:r>
          </w:p>
          <w:p w14:paraId="45C41359"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 September 2023 the session “Capacity-building and an enabling policy and regulatory environment to empower communities” will </w:t>
            </w:r>
            <w:r>
              <w:rPr>
                <w:rFonts w:ascii="Times New Roman" w:eastAsia="Times New Roman" w:hAnsi="Times New Roman" w:cs="Times New Roman"/>
                <w:sz w:val="20"/>
                <w:szCs w:val="20"/>
              </w:rPr>
              <w:t>be developed at Africa Internet Governance Forum 2023.</w:t>
            </w:r>
          </w:p>
          <w:p w14:paraId="0E272A35"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 March 2023, in collaboration with the ITU Office of Digital Inclusion, the session "Capacity Building and Enabling Environments for Meaningful Access in Indigenous and Rural Communities" was held </w:t>
            </w:r>
            <w:r>
              <w:rPr>
                <w:rFonts w:ascii="Times New Roman" w:eastAsia="Times New Roman" w:hAnsi="Times New Roman" w:cs="Times New Roman"/>
                <w:sz w:val="20"/>
                <w:szCs w:val="20"/>
              </w:rPr>
              <w:t>at the World Summit on the Information Society Forum.</w:t>
            </w:r>
          </w:p>
          <w:p w14:paraId="0F8AE3D0"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 November 2022 the participation of the representatives of the 5 National schools of Community Networks during IGF in Ethiopia sharing during the panel “Lessons Learned from Capacity Building in the</w:t>
            </w:r>
            <w:r>
              <w:rPr>
                <w:rFonts w:ascii="Times New Roman" w:eastAsia="Times New Roman" w:hAnsi="Times New Roman" w:cs="Times New Roman"/>
                <w:sz w:val="20"/>
                <w:szCs w:val="20"/>
              </w:rPr>
              <w:t xml:space="preserve"> Global South”.</w:t>
            </w:r>
          </w:p>
          <w:p w14:paraId="5E524AA6"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 August 2022 the initiative has been recognised during the las Participatory Design Conference held in August 2022, in Newcastle, UK, and received an award for the outstanding achievement in the area of participatory design of informati</w:t>
            </w:r>
            <w:r>
              <w:rPr>
                <w:rFonts w:ascii="Times New Roman" w:eastAsia="Times New Roman" w:hAnsi="Times New Roman" w:cs="Times New Roman"/>
                <w:sz w:val="20"/>
                <w:szCs w:val="20"/>
              </w:rPr>
              <w:t>on and communications technologies (ICTs).</w:t>
            </w:r>
          </w:p>
        </w:tc>
      </w:tr>
      <w:tr w:rsidR="007356D6" w14:paraId="08EAB2C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7A69D59"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New challenges: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DEF1AF9"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most important advocacy action in 2023 related to the project was the approval at the 30th meeting of the Telecommunication Development Advisory Group (TDAG) of the contribution to the development of a hybrid training programme for Africa. As was previ</w:t>
            </w:r>
            <w:r>
              <w:rPr>
                <w:rFonts w:ascii="Times New Roman" w:eastAsia="Times New Roman" w:hAnsi="Times New Roman" w:cs="Times New Roman"/>
                <w:sz w:val="20"/>
                <w:szCs w:val="20"/>
              </w:rPr>
              <w:t>ously the case when this same action was developed for Latin America, this action allows ITU to consolidate its position as a key partner in the development of a project of this nature.</w:t>
            </w:r>
          </w:p>
        </w:tc>
      </w:tr>
      <w:tr w:rsidR="007356D6" w14:paraId="3EDDD8BA"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ED93A8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EA8579D"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Communities around the world have generated strategi</w:t>
            </w:r>
            <w:r>
              <w:rPr>
                <w:rFonts w:ascii="Times New Roman" w:eastAsia="Times New Roman" w:hAnsi="Times New Roman" w:cs="Times New Roman"/>
                <w:sz w:val="20"/>
                <w:szCs w:val="20"/>
              </w:rPr>
              <w:t>es to address their communication needs and achieve ICT insertion processes in a way that is relevant to their development objectives and ways of life. This has been possible, among other things, thanks to capacity building processes aimed at the people wh</w:t>
            </w:r>
            <w:r>
              <w:rPr>
                <w:rFonts w:ascii="Times New Roman" w:eastAsia="Times New Roman" w:hAnsi="Times New Roman" w:cs="Times New Roman"/>
                <w:sz w:val="20"/>
                <w:szCs w:val="20"/>
              </w:rPr>
              <w:t>o live in the communities and where methodologies, contents and learning goals are formulated based on the specific contexts of the territories where the training takes place.</w:t>
            </w:r>
          </w:p>
          <w:p w14:paraId="7B360FCD"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4092FA5"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sharing of the practical and theoretical learning that has been generated </w:t>
            </w:r>
            <w:r>
              <w:rPr>
                <w:rFonts w:ascii="Times New Roman" w:eastAsia="Times New Roman" w:hAnsi="Times New Roman" w:cs="Times New Roman"/>
                <w:sz w:val="20"/>
                <w:szCs w:val="20"/>
              </w:rPr>
              <w:t>in these processes becomes fundamental to achieve more solid training actions that have repercussions in practice. Therefore, the systematisation of experiences, access to relevant pedagogical resources and communities of practice are aspects that ultimate</w:t>
            </w:r>
            <w:r>
              <w:rPr>
                <w:rFonts w:ascii="Times New Roman" w:eastAsia="Times New Roman" w:hAnsi="Times New Roman" w:cs="Times New Roman"/>
                <w:sz w:val="20"/>
                <w:szCs w:val="20"/>
              </w:rPr>
              <w:t>ly allow the achievement of the proposed objectives of digital inclusion and meaningful access.</w:t>
            </w:r>
          </w:p>
          <w:p w14:paraId="4F75B6AA"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1ED7CE9"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Being able to make knowledge and pedagogical resources available to indigenous, rural and marginalised urban communities is key to strengthening capacity-building initiatives focused on achieving meaningful access conditions in these territories. This impl</w:t>
            </w:r>
            <w:r>
              <w:rPr>
                <w:rFonts w:ascii="Times New Roman" w:eastAsia="Times New Roman" w:hAnsi="Times New Roman" w:cs="Times New Roman"/>
                <w:sz w:val="20"/>
                <w:szCs w:val="20"/>
              </w:rPr>
              <w:t xml:space="preserve">ies a series of elements that an enabling environment should contain and in which certain public policies can facilitate the </w:t>
            </w:r>
            <w:r>
              <w:rPr>
                <w:rFonts w:ascii="Times New Roman" w:eastAsia="Times New Roman" w:hAnsi="Times New Roman" w:cs="Times New Roman"/>
                <w:sz w:val="20"/>
                <w:szCs w:val="20"/>
              </w:rPr>
              <w:lastRenderedPageBreak/>
              <w:t>existence and consolidation of these training experiences.</w:t>
            </w:r>
          </w:p>
        </w:tc>
      </w:tr>
      <w:tr w:rsidR="007356D6" w14:paraId="4FD056FC"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FD0289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Next steps: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FB12A14"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Development of a comprehensive evaluation of the methodo</w:t>
            </w:r>
            <w:r>
              <w:rPr>
                <w:rFonts w:ascii="Times New Roman" w:eastAsia="Times New Roman" w:hAnsi="Times New Roman" w:cs="Times New Roman"/>
                <w:sz w:val="20"/>
                <w:szCs w:val="20"/>
              </w:rPr>
              <w:t>logy and process developed in the NSCNs and the training program in LAC.</w:t>
            </w:r>
          </w:p>
          <w:p w14:paraId="5AA80E37"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Redesign and update of the courses taught in the program in LAC.</w:t>
            </w:r>
          </w:p>
          <w:p w14:paraId="7C3642B9"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Generation of materials and/or courses for the replicability of the model in other contexts.</w:t>
            </w:r>
          </w:p>
          <w:p w14:paraId="48AA9EE1"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Development of the collective design and implementation of a continental hybrid training program in Africa in collaboration with the ITU, based on the PAR methodology.</w:t>
            </w:r>
          </w:p>
          <w:p w14:paraId="549DF853"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Accompaniment and mentoring in the development of training programs specific to th</w:t>
            </w:r>
            <w:r>
              <w:rPr>
                <w:rFonts w:ascii="Times New Roman" w:eastAsia="Times New Roman" w:hAnsi="Times New Roman" w:cs="Times New Roman"/>
                <w:sz w:val="20"/>
                <w:szCs w:val="20"/>
              </w:rPr>
              <w:t>e initiatives that have started their own processes.</w:t>
            </w:r>
          </w:p>
          <w:p w14:paraId="4B4C7925"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Scalability of the repository to include an online learning platform in which a first virtual course is taught, as well as linking the space with existing training projects.</w:t>
            </w:r>
          </w:p>
        </w:tc>
      </w:tr>
      <w:tr w:rsidR="007356D6" w14:paraId="64017615"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6A5D38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Other important matter(s)</w:t>
            </w:r>
            <w:r>
              <w:rPr>
                <w:rFonts w:ascii="Times New Roman" w:eastAsia="Times New Roman" w:hAnsi="Times New Roman" w:cs="Times New Roman"/>
                <w:b/>
                <w:sz w:val="20"/>
                <w:szCs w:val="20"/>
              </w:rPr>
              <w:t xml:space="preserve"> on the project and not covered above:</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2B06438"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development of such capacity building processes in community contexts, as a basis for the development of alternative connectivity and meaningful access solutions, requires the joint efforts of a wide range of stak</w:t>
            </w:r>
            <w:r>
              <w:rPr>
                <w:rFonts w:ascii="Times New Roman" w:eastAsia="Times New Roman" w:hAnsi="Times New Roman" w:cs="Times New Roman"/>
                <w:sz w:val="20"/>
                <w:szCs w:val="20"/>
              </w:rPr>
              <w:t>eholders. Hence, it is necessary to continue building strategies and learning communities around the development of multi-stakeholder pedagogical processes. In this sense, the process of sharing experiences that can take place in a space such as the PNMA g</w:t>
            </w:r>
            <w:r>
              <w:rPr>
                <w:rFonts w:ascii="Times New Roman" w:eastAsia="Times New Roman" w:hAnsi="Times New Roman" w:cs="Times New Roman"/>
                <w:sz w:val="20"/>
                <w:szCs w:val="20"/>
              </w:rPr>
              <w:t>roup is key.</w:t>
            </w:r>
          </w:p>
        </w:tc>
      </w:tr>
      <w:tr w:rsidR="007356D6" w14:paraId="76E8E9C6" w14:textId="77777777">
        <w:trPr>
          <w:trHeight w:val="420"/>
        </w:trPr>
        <w:tc>
          <w:tcPr>
            <w:tcW w:w="1014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71BF73F" w14:textId="77777777" w:rsidR="007356D6" w:rsidRDefault="00D7602D">
            <w:pPr>
              <w:spacing w:line="240" w:lineRule="auto"/>
              <w:jc w:val="center"/>
              <w:rPr>
                <w:b/>
              </w:rPr>
            </w:pPr>
            <w:r>
              <w:rPr>
                <w:b/>
              </w:rPr>
              <w:t xml:space="preserve">2024 Follow-up on </w:t>
            </w:r>
            <w:r>
              <w:rPr>
                <w:b/>
                <w:highlight w:val="green"/>
              </w:rPr>
              <w:t>[write date]</w:t>
            </w:r>
          </w:p>
        </w:tc>
      </w:tr>
      <w:tr w:rsidR="007356D6" w14:paraId="5753AC7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5D527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3214C4" w14:textId="77777777" w:rsidR="007356D6" w:rsidRDefault="00D7602D">
            <w:pPr>
              <w:numPr>
                <w:ilvl w:val="0"/>
                <w:numId w:val="3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0042952C"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00C6EC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03AE4D"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9995E76"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5615A4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D03BF7"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D513156"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BC997D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Was the solution scaled or localised to other regions? If so, please share </w:t>
            </w:r>
            <w:r>
              <w:rPr>
                <w:rFonts w:ascii="Times New Roman" w:eastAsia="Times New Roman" w:hAnsi="Times New Roman" w:cs="Times New Roman"/>
                <w:b/>
                <w:sz w:val="20"/>
                <w:szCs w:val="20"/>
              </w:rPr>
              <w:lastRenderedPageBreak/>
              <w:t>examples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D36EDE"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58FE81B"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EDE7F4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C62BEC"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448993EB"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CC838D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3857B6"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48D10BF"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CFC7E0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7CB734"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53B49B3"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2C83478"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91CB90"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6E873190" w14:textId="77777777" w:rsidR="007356D6" w:rsidRDefault="007356D6">
      <w:pPr>
        <w:spacing w:line="240" w:lineRule="auto"/>
        <w:rPr>
          <w:rFonts w:ascii="Times New Roman" w:eastAsia="Times New Roman" w:hAnsi="Times New Roman" w:cs="Times New Roman"/>
        </w:rPr>
      </w:pPr>
    </w:p>
    <w:p w14:paraId="538563D6" w14:textId="77777777" w:rsidR="007356D6" w:rsidRDefault="007356D6">
      <w:pPr>
        <w:rPr>
          <w:rFonts w:ascii="Times New Roman" w:eastAsia="Times New Roman" w:hAnsi="Times New Roman" w:cs="Times New Roman"/>
        </w:rPr>
      </w:pPr>
    </w:p>
    <w:p w14:paraId="3F53F2C4" w14:textId="77777777" w:rsidR="007356D6" w:rsidRDefault="00D7602D">
      <w:pPr>
        <w:numPr>
          <w:ilvl w:val="2"/>
          <w:numId w:val="56"/>
        </w:numPr>
        <w:spacing w:after="240"/>
      </w:pPr>
      <w:r>
        <w:rPr>
          <w:rFonts w:ascii="Times New Roman" w:eastAsia="Times New Roman" w:hAnsi="Times New Roman" w:cs="Times New Roman"/>
          <w:color w:val="38761D"/>
          <w:sz w:val="28"/>
          <w:szCs w:val="28"/>
        </w:rPr>
        <w:t>Preliminary conclusions and challenges for scaling/localisation (if any)</w:t>
      </w:r>
    </w:p>
    <w:p w14:paraId="129523DF" w14:textId="77777777" w:rsidR="007356D6" w:rsidRDefault="007356D6">
      <w:pPr>
        <w:rPr>
          <w:rFonts w:ascii="Times New Roman" w:eastAsia="Times New Roman" w:hAnsi="Times New Roman" w:cs="Times New Roman"/>
        </w:rPr>
      </w:pPr>
    </w:p>
    <w:p w14:paraId="7E8DCD3E" w14:textId="77777777" w:rsidR="007356D6" w:rsidRDefault="007356D6">
      <w:pPr>
        <w:pStyle w:val="Heading3"/>
        <w:rPr>
          <w:rFonts w:ascii="Times New Roman" w:eastAsia="Times New Roman" w:hAnsi="Times New Roman" w:cs="Times New Roman"/>
          <w:color w:val="38761D"/>
        </w:rPr>
      </w:pPr>
      <w:bookmarkStart w:id="35" w:name="_qxqdbjet7dvx" w:colFirst="0" w:colLast="0"/>
      <w:bookmarkEnd w:id="35"/>
    </w:p>
    <w:p w14:paraId="2107BC4F" w14:textId="77777777" w:rsidR="007356D6" w:rsidRDefault="007356D6">
      <w:pPr>
        <w:ind w:left="1440"/>
        <w:rPr>
          <w:rFonts w:ascii="Times New Roman" w:eastAsia="Times New Roman" w:hAnsi="Times New Roman" w:cs="Times New Roman"/>
        </w:rPr>
      </w:pPr>
    </w:p>
    <w:p w14:paraId="40CFF50C" w14:textId="77777777" w:rsidR="007356D6" w:rsidRDefault="007356D6">
      <w:pPr>
        <w:ind w:left="1440"/>
        <w:rPr>
          <w:rFonts w:ascii="Times New Roman" w:eastAsia="Times New Roman" w:hAnsi="Times New Roman" w:cs="Times New Roman"/>
        </w:rPr>
      </w:pPr>
    </w:p>
    <w:p w14:paraId="04F898BE" w14:textId="77777777" w:rsidR="007356D6" w:rsidRDefault="007356D6">
      <w:pPr>
        <w:ind w:left="1440"/>
        <w:rPr>
          <w:rFonts w:ascii="Times New Roman" w:eastAsia="Times New Roman" w:hAnsi="Times New Roman" w:cs="Times New Roman"/>
        </w:rPr>
      </w:pPr>
    </w:p>
    <w:p w14:paraId="50085A29" w14:textId="77777777" w:rsidR="007356D6" w:rsidRDefault="007356D6">
      <w:pPr>
        <w:ind w:left="1440"/>
        <w:rPr>
          <w:rFonts w:ascii="Times New Roman" w:eastAsia="Times New Roman" w:hAnsi="Times New Roman" w:cs="Times New Roman"/>
        </w:rPr>
      </w:pPr>
    </w:p>
    <w:p w14:paraId="6B77A604" w14:textId="77777777" w:rsidR="007356D6" w:rsidRDefault="00D7602D">
      <w:pPr>
        <w:ind w:left="1440"/>
        <w:rPr>
          <w:rFonts w:ascii="Times New Roman" w:eastAsia="Times New Roman" w:hAnsi="Times New Roman" w:cs="Times New Roman"/>
        </w:rPr>
      </w:pPr>
      <w:r>
        <w:br w:type="page"/>
      </w:r>
    </w:p>
    <w:p w14:paraId="6828E076" w14:textId="77777777" w:rsidR="007356D6" w:rsidRDefault="00D7602D">
      <w:pPr>
        <w:pStyle w:val="Heading2"/>
        <w:numPr>
          <w:ilvl w:val="0"/>
          <w:numId w:val="56"/>
        </w:numPr>
        <w:rPr>
          <w:rFonts w:ascii="Times New Roman" w:eastAsia="Times New Roman" w:hAnsi="Times New Roman" w:cs="Times New Roman"/>
        </w:rPr>
      </w:pPr>
      <w:bookmarkStart w:id="36" w:name="_lyrtxkcaw1fb" w:colFirst="0" w:colLast="0"/>
      <w:bookmarkEnd w:id="36"/>
      <w:r>
        <w:rPr>
          <w:rFonts w:ascii="Times New Roman" w:eastAsia="Times New Roman" w:hAnsi="Times New Roman" w:cs="Times New Roman"/>
          <w:b/>
          <w:color w:val="38761D"/>
        </w:rPr>
        <w:lastRenderedPageBreak/>
        <w:t>Collaboration streams within the IGF</w:t>
      </w:r>
    </w:p>
    <w:p w14:paraId="0337F633" w14:textId="77777777" w:rsidR="007356D6" w:rsidRDefault="007356D6">
      <w:bookmarkStart w:id="37" w:name="kix.dla0cyscghz6" w:colFirst="0" w:colLast="0"/>
      <w:bookmarkEnd w:id="37"/>
    </w:p>
    <w:p w14:paraId="14ECA226" w14:textId="77777777" w:rsidR="007356D6" w:rsidRDefault="00D7602D">
      <w:pPr>
        <w:pStyle w:val="Heading3"/>
        <w:numPr>
          <w:ilvl w:val="1"/>
          <w:numId w:val="56"/>
        </w:numPr>
        <w:spacing w:after="0"/>
        <w:jc w:val="both"/>
      </w:pPr>
      <w:bookmarkStart w:id="38" w:name="_ay7zeb3c49pv" w:colFirst="0" w:colLast="0"/>
      <w:bookmarkEnd w:id="38"/>
      <w:r>
        <w:rPr>
          <w:rFonts w:ascii="Times New Roman" w:eastAsia="Times New Roman" w:hAnsi="Times New Roman" w:cs="Times New Roman"/>
          <w:color w:val="38761D"/>
        </w:rPr>
        <w:t>IGF Leadership Panel</w:t>
      </w:r>
    </w:p>
    <w:p w14:paraId="5515584F" w14:textId="77777777" w:rsidR="007356D6" w:rsidRDefault="00D7602D">
      <w:pPr>
        <w:pStyle w:val="Heading3"/>
        <w:numPr>
          <w:ilvl w:val="1"/>
          <w:numId w:val="56"/>
        </w:numPr>
        <w:spacing w:before="0" w:after="0"/>
        <w:jc w:val="both"/>
      </w:pPr>
      <w:bookmarkStart w:id="39" w:name="_ffpfa4bafqib" w:colFirst="0" w:colLast="0"/>
      <w:bookmarkEnd w:id="39"/>
      <w:r>
        <w:rPr>
          <w:rFonts w:ascii="Times New Roman" w:eastAsia="Times New Roman" w:hAnsi="Times New Roman" w:cs="Times New Roman"/>
          <w:color w:val="38761D"/>
        </w:rPr>
        <w:t>Intersessional work with Youth IGF, DCs, and/or NRIs</w:t>
      </w:r>
    </w:p>
    <w:p w14:paraId="2EE9AAA3" w14:textId="77777777" w:rsidR="007356D6" w:rsidRDefault="00D7602D">
      <w:pPr>
        <w:pStyle w:val="Heading3"/>
        <w:numPr>
          <w:ilvl w:val="1"/>
          <w:numId w:val="56"/>
        </w:numPr>
        <w:spacing w:before="0"/>
        <w:jc w:val="both"/>
      </w:pPr>
      <w:bookmarkStart w:id="40" w:name="_gciunw7vsisk" w:colFirst="0" w:colLast="0"/>
      <w:bookmarkEnd w:id="40"/>
      <w:commentRangeStart w:id="41"/>
      <w:r>
        <w:rPr>
          <w:rFonts w:ascii="Times New Roman" w:eastAsia="Times New Roman" w:hAnsi="Times New Roman" w:cs="Times New Roman"/>
          <w:color w:val="38761D"/>
        </w:rPr>
        <w:t xml:space="preserve">An effective contribution to other related UN processes: </w:t>
      </w:r>
      <w:commentRangeStart w:id="42"/>
      <w:commentRangeStart w:id="43"/>
      <w:commentRangeStart w:id="44"/>
      <w:r>
        <w:rPr>
          <w:rFonts w:ascii="Times New Roman" w:eastAsia="Times New Roman" w:hAnsi="Times New Roman" w:cs="Times New Roman"/>
          <w:color w:val="38761D"/>
        </w:rPr>
        <w:t>GDC</w:t>
      </w:r>
      <w:commentRangeEnd w:id="42"/>
      <w:r>
        <w:commentReference w:id="42"/>
      </w:r>
      <w:commentRangeEnd w:id="43"/>
      <w:r>
        <w:commentReference w:id="43"/>
      </w:r>
      <w:commentRangeEnd w:id="44"/>
      <w:r>
        <w:commentReference w:id="44"/>
      </w:r>
      <w:r>
        <w:rPr>
          <w:rFonts w:ascii="Times New Roman" w:eastAsia="Times New Roman" w:hAnsi="Times New Roman" w:cs="Times New Roman"/>
          <w:color w:val="38761D"/>
        </w:rPr>
        <w:t xml:space="preserve"> and Summit of the Future</w:t>
      </w:r>
      <w:commentRangeEnd w:id="41"/>
      <w:r>
        <w:commentReference w:id="41"/>
      </w:r>
    </w:p>
    <w:p w14:paraId="5544042F" w14:textId="77777777" w:rsidR="007356D6" w:rsidRDefault="007356D6">
      <w:pPr>
        <w:rPr>
          <w:rFonts w:ascii="Times New Roman" w:eastAsia="Times New Roman" w:hAnsi="Times New Roman" w:cs="Times New Roman"/>
          <w:color w:val="38761D"/>
          <w:sz w:val="28"/>
          <w:szCs w:val="28"/>
        </w:rPr>
      </w:pPr>
    </w:p>
    <w:p w14:paraId="2D61582A" w14:textId="77777777" w:rsidR="007356D6" w:rsidRDefault="00D7602D">
      <w:pP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PNMA leadership has contributed to the GDC process -based on the 2023 report and on the new suggestions collected this year during the intersessional work- t</w:t>
      </w:r>
      <w:r>
        <w:rPr>
          <w:rFonts w:ascii="Times New Roman" w:eastAsia="Times New Roman" w:hAnsi="Times New Roman" w:cs="Times New Roman"/>
          <w:color w:val="FF0000"/>
          <w:sz w:val="20"/>
          <w:szCs w:val="20"/>
        </w:rPr>
        <w:t>hrough written contribution and intervening at some of the Open Consultations held by the the “facilitators” countries, and also participating in person to the Summit of the Future actions days and to the Summit itself. The concept of “meaningful access” h</w:t>
      </w:r>
      <w:r>
        <w:rPr>
          <w:rFonts w:ascii="Times New Roman" w:eastAsia="Times New Roman" w:hAnsi="Times New Roman" w:cs="Times New Roman"/>
          <w:color w:val="FF0000"/>
          <w:sz w:val="20"/>
          <w:szCs w:val="20"/>
        </w:rPr>
        <w:t>as been supported by many and has found a proper recognition not only in the GDC final text, but also in the overarching Pact for the Future (see recommendations 59 and 64)</w:t>
      </w:r>
    </w:p>
    <w:p w14:paraId="0A801BFA" w14:textId="77777777" w:rsidR="007356D6" w:rsidRDefault="007356D6">
      <w:pPr>
        <w:rPr>
          <w:rFonts w:ascii="Times New Roman" w:eastAsia="Times New Roman" w:hAnsi="Times New Roman" w:cs="Times New Roman"/>
        </w:rPr>
      </w:pPr>
    </w:p>
    <w:p w14:paraId="6FBDFBB1" w14:textId="77777777" w:rsidR="007356D6" w:rsidRDefault="007356D6">
      <w:pPr>
        <w:rPr>
          <w:rFonts w:ascii="Times New Roman" w:eastAsia="Times New Roman" w:hAnsi="Times New Roman" w:cs="Times New Roman"/>
        </w:rPr>
      </w:pPr>
    </w:p>
    <w:p w14:paraId="666DA624" w14:textId="77777777" w:rsidR="007356D6" w:rsidRDefault="007356D6">
      <w:pPr>
        <w:rPr>
          <w:rFonts w:ascii="Times New Roman" w:eastAsia="Times New Roman" w:hAnsi="Times New Roman" w:cs="Times New Roman"/>
        </w:rPr>
      </w:pPr>
    </w:p>
    <w:p w14:paraId="178BA233" w14:textId="77777777" w:rsidR="007356D6" w:rsidRDefault="007356D6">
      <w:pPr>
        <w:rPr>
          <w:rFonts w:ascii="Times New Roman" w:eastAsia="Times New Roman" w:hAnsi="Times New Roman" w:cs="Times New Roman"/>
        </w:rPr>
      </w:pPr>
    </w:p>
    <w:p w14:paraId="62DA4050" w14:textId="77777777" w:rsidR="007356D6" w:rsidRDefault="007356D6">
      <w:pPr>
        <w:rPr>
          <w:rFonts w:ascii="Times New Roman" w:eastAsia="Times New Roman" w:hAnsi="Times New Roman" w:cs="Times New Roman"/>
        </w:rPr>
      </w:pPr>
    </w:p>
    <w:p w14:paraId="69E22955" w14:textId="77777777" w:rsidR="007356D6" w:rsidRDefault="00D7602D">
      <w:pPr>
        <w:rPr>
          <w:rFonts w:ascii="Times New Roman" w:eastAsia="Times New Roman" w:hAnsi="Times New Roman" w:cs="Times New Roman"/>
          <w:color w:val="38761D"/>
          <w:sz w:val="24"/>
          <w:szCs w:val="24"/>
        </w:rPr>
      </w:pPr>
      <w:r>
        <w:br w:type="page"/>
      </w:r>
    </w:p>
    <w:p w14:paraId="24588DC7" w14:textId="77777777" w:rsidR="007356D6" w:rsidRDefault="00D7602D">
      <w:pPr>
        <w:numPr>
          <w:ilvl w:val="0"/>
          <w:numId w:val="56"/>
        </w:numPr>
        <w:rPr>
          <w:rFonts w:ascii="Times New Roman" w:eastAsia="Times New Roman" w:hAnsi="Times New Roman" w:cs="Times New Roman"/>
          <w:sz w:val="32"/>
          <w:szCs w:val="32"/>
        </w:rPr>
      </w:pPr>
      <w:r>
        <w:rPr>
          <w:rFonts w:ascii="Times New Roman" w:eastAsia="Times New Roman" w:hAnsi="Times New Roman" w:cs="Times New Roman"/>
          <w:b/>
          <w:color w:val="38761D"/>
          <w:sz w:val="32"/>
          <w:szCs w:val="32"/>
        </w:rPr>
        <w:lastRenderedPageBreak/>
        <w:t>Collaboration streams beyond the IGF: Intersectional Work</w:t>
      </w:r>
      <w:bookmarkStart w:id="45" w:name="v6le04h9e4b" w:colFirst="0" w:colLast="0"/>
      <w:bookmarkEnd w:id="45"/>
      <w:r>
        <w:rPr>
          <w:rFonts w:ascii="Times New Roman" w:eastAsia="Times New Roman" w:hAnsi="Times New Roman" w:cs="Times New Roman"/>
          <w:b/>
          <w:color w:val="38761D"/>
          <w:sz w:val="32"/>
          <w:szCs w:val="32"/>
        </w:rPr>
        <w:t>s</w:t>
      </w:r>
    </w:p>
    <w:p w14:paraId="7443D458" w14:textId="77777777" w:rsidR="007356D6" w:rsidRDefault="007356D6">
      <w:pPr>
        <w:ind w:left="720"/>
        <w:rPr>
          <w:rFonts w:ascii="Times New Roman" w:eastAsia="Times New Roman" w:hAnsi="Times New Roman" w:cs="Times New Roman"/>
          <w:b/>
          <w:color w:val="38761D"/>
          <w:sz w:val="32"/>
          <w:szCs w:val="32"/>
        </w:rPr>
      </w:pPr>
    </w:p>
    <w:p w14:paraId="693637FD" w14:textId="77777777" w:rsidR="007356D6" w:rsidRDefault="00D7602D">
      <w:pPr>
        <w:pStyle w:val="Heading3"/>
        <w:numPr>
          <w:ilvl w:val="1"/>
          <w:numId w:val="56"/>
        </w:numPr>
        <w:jc w:val="both"/>
      </w:pPr>
      <w:bookmarkStart w:id="46" w:name="_ffsp3tqzt0ek" w:colFirst="0" w:colLast="0"/>
      <w:bookmarkEnd w:id="46"/>
      <w:r>
        <w:rPr>
          <w:rFonts w:ascii="Times New Roman" w:eastAsia="Times New Roman" w:hAnsi="Times New Roman" w:cs="Times New Roman"/>
          <w:color w:val="38761D"/>
        </w:rPr>
        <w:t>ITU</w:t>
      </w:r>
    </w:p>
    <w:p w14:paraId="600EE735" w14:textId="77777777" w:rsidR="007356D6" w:rsidRDefault="00D760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subsection aims to showcase the development, successes and challenges faced by the good practices identified in the previous reports. The focal point of each case was directly contacted to provide information via a standard form as seen below.</w:t>
      </w:r>
    </w:p>
    <w:p w14:paraId="36C8D796" w14:textId="77777777" w:rsidR="007356D6" w:rsidRDefault="007356D6">
      <w:pPr>
        <w:spacing w:line="240" w:lineRule="auto"/>
        <w:rPr>
          <w:rFonts w:ascii="Times New Roman" w:eastAsia="Times New Roman" w:hAnsi="Times New Roman" w:cs="Times New Roman"/>
        </w:rPr>
      </w:pPr>
    </w:p>
    <w:tbl>
      <w:tblPr>
        <w:tblStyle w:val="aff3"/>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7740"/>
      </w:tblGrid>
      <w:tr w:rsidR="007356D6" w:rsidRPr="00BB0B18" w14:paraId="2E6394B5" w14:textId="77777777">
        <w:trPr>
          <w:trHeight w:val="420"/>
        </w:trPr>
        <w:tc>
          <w:tcPr>
            <w:tcW w:w="2400" w:type="dxa"/>
            <w:shd w:val="clear" w:color="auto" w:fill="CFE2F3"/>
            <w:tcMar>
              <w:top w:w="100" w:type="dxa"/>
              <w:left w:w="100" w:type="dxa"/>
              <w:bottom w:w="100" w:type="dxa"/>
              <w:right w:w="100" w:type="dxa"/>
            </w:tcMar>
          </w:tcPr>
          <w:p w14:paraId="52036E95"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Case 1</w:t>
            </w:r>
            <w:r>
              <w:rPr>
                <w:rFonts w:ascii="Times New Roman" w:eastAsia="Times New Roman" w:hAnsi="Times New Roman" w:cs="Times New Roman"/>
                <w:b/>
              </w:rPr>
              <w:t>:</w:t>
            </w:r>
          </w:p>
        </w:tc>
        <w:tc>
          <w:tcPr>
            <w:tcW w:w="7740" w:type="dxa"/>
            <w:shd w:val="clear" w:color="auto" w:fill="CFE2F3"/>
            <w:tcMar>
              <w:top w:w="100" w:type="dxa"/>
              <w:left w:w="100" w:type="dxa"/>
              <w:bottom w:w="100" w:type="dxa"/>
              <w:right w:w="100" w:type="dxa"/>
            </w:tcMar>
          </w:tcPr>
          <w:p w14:paraId="68B622D8" w14:textId="77777777" w:rsidR="007356D6" w:rsidRPr="00BB0B18" w:rsidRDefault="00D7602D">
            <w:pPr>
              <w:widowControl w:val="0"/>
              <w:spacing w:line="240" w:lineRule="auto"/>
              <w:jc w:val="center"/>
              <w:rPr>
                <w:rFonts w:ascii="Times New Roman" w:eastAsia="Times New Roman" w:hAnsi="Times New Roman" w:cs="Times New Roman"/>
                <w:b/>
                <w:lang w:val="fr-CH"/>
              </w:rPr>
            </w:pPr>
            <w:r w:rsidRPr="00BB0B18">
              <w:rPr>
                <w:rFonts w:ascii="Times New Roman" w:eastAsia="Times New Roman" w:hAnsi="Times New Roman" w:cs="Times New Roman"/>
                <w:b/>
                <w:lang w:val="fr-CH"/>
              </w:rPr>
              <w:t>ITU-D: ICT Infrastructure Map</w:t>
            </w:r>
          </w:p>
        </w:tc>
      </w:tr>
      <w:tr w:rsidR="007356D6" w14:paraId="3D13D5A2" w14:textId="77777777">
        <w:trPr>
          <w:trHeight w:val="420"/>
        </w:trPr>
        <w:tc>
          <w:tcPr>
            <w:tcW w:w="2400" w:type="dxa"/>
            <w:shd w:val="clear" w:color="auto" w:fill="auto"/>
            <w:tcMar>
              <w:top w:w="100" w:type="dxa"/>
              <w:left w:w="100" w:type="dxa"/>
              <w:bottom w:w="100" w:type="dxa"/>
              <w:right w:w="100" w:type="dxa"/>
            </w:tcMar>
          </w:tcPr>
          <w:p w14:paraId="3D4CAE3C"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0" w:type="dxa"/>
            <w:shd w:val="clear" w:color="auto" w:fill="auto"/>
            <w:tcMar>
              <w:top w:w="100" w:type="dxa"/>
              <w:left w:w="100" w:type="dxa"/>
              <w:bottom w:w="100" w:type="dxa"/>
              <w:right w:w="100" w:type="dxa"/>
            </w:tcMar>
          </w:tcPr>
          <w:p w14:paraId="41C4FC67" w14:textId="77777777" w:rsidR="007356D6" w:rsidRDefault="00D7602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Global</w:t>
            </w:r>
          </w:p>
        </w:tc>
      </w:tr>
      <w:tr w:rsidR="007356D6" w14:paraId="740F86E6" w14:textId="77777777">
        <w:trPr>
          <w:trHeight w:val="420"/>
        </w:trPr>
        <w:tc>
          <w:tcPr>
            <w:tcW w:w="2400" w:type="dxa"/>
            <w:shd w:val="clear" w:color="auto" w:fill="auto"/>
            <w:tcMar>
              <w:top w:w="100" w:type="dxa"/>
              <w:left w:w="100" w:type="dxa"/>
              <w:bottom w:w="100" w:type="dxa"/>
              <w:right w:w="100" w:type="dxa"/>
            </w:tcMar>
          </w:tcPr>
          <w:p w14:paraId="3CF77601"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0" w:type="dxa"/>
            <w:shd w:val="clear" w:color="auto" w:fill="auto"/>
            <w:tcMar>
              <w:top w:w="100" w:type="dxa"/>
              <w:left w:w="100" w:type="dxa"/>
              <w:bottom w:w="100" w:type="dxa"/>
              <w:right w:w="100" w:type="dxa"/>
            </w:tcMar>
          </w:tcPr>
          <w:p w14:paraId="7C76C925" w14:textId="77777777" w:rsidR="007356D6" w:rsidRDefault="00D7602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  </w:t>
            </w:r>
            <w:r>
              <w:rPr>
                <w:rFonts w:ascii="Times New Roman" w:eastAsia="Times New Roman" w:hAnsi="Times New Roman" w:cs="Times New Roman"/>
                <w:color w:val="404040"/>
                <w:sz w:val="20"/>
                <w:szCs w:val="20"/>
              </w:rPr>
              <w:t>EUR 200.000,00 yearly since 2016</w:t>
            </w:r>
          </w:p>
        </w:tc>
      </w:tr>
      <w:tr w:rsidR="007356D6" w14:paraId="79038639" w14:textId="77777777">
        <w:trPr>
          <w:trHeight w:val="420"/>
        </w:trPr>
        <w:tc>
          <w:tcPr>
            <w:tcW w:w="2400" w:type="dxa"/>
            <w:shd w:val="clear" w:color="auto" w:fill="auto"/>
            <w:tcMar>
              <w:top w:w="100" w:type="dxa"/>
              <w:left w:w="100" w:type="dxa"/>
              <w:bottom w:w="100" w:type="dxa"/>
              <w:right w:w="100" w:type="dxa"/>
            </w:tcMar>
          </w:tcPr>
          <w:p w14:paraId="12B72C81"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0" w:type="dxa"/>
            <w:shd w:val="clear" w:color="auto" w:fill="auto"/>
            <w:tcMar>
              <w:top w:w="100" w:type="dxa"/>
              <w:left w:w="100" w:type="dxa"/>
              <w:bottom w:w="100" w:type="dxa"/>
              <w:right w:w="100" w:type="dxa"/>
            </w:tcMar>
          </w:tcPr>
          <w:p w14:paraId="18330996" w14:textId="77777777" w:rsidR="007356D6" w:rsidRDefault="00D7602D">
            <w:pPr>
              <w:widowControl w:val="0"/>
              <w:numPr>
                <w:ilvl w:val="0"/>
                <w:numId w:val="3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FNS/ITU-D</w:t>
            </w:r>
          </w:p>
        </w:tc>
      </w:tr>
      <w:tr w:rsidR="007356D6" w14:paraId="3C80FFC2" w14:textId="77777777">
        <w:trPr>
          <w:trHeight w:val="420"/>
        </w:trPr>
        <w:tc>
          <w:tcPr>
            <w:tcW w:w="2400" w:type="dxa"/>
            <w:shd w:val="clear" w:color="auto" w:fill="auto"/>
            <w:tcMar>
              <w:top w:w="100" w:type="dxa"/>
              <w:left w:w="100" w:type="dxa"/>
              <w:bottom w:w="100" w:type="dxa"/>
              <w:right w:w="100" w:type="dxa"/>
            </w:tcMar>
          </w:tcPr>
          <w:p w14:paraId="17412488"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0" w:type="dxa"/>
            <w:shd w:val="clear" w:color="auto" w:fill="auto"/>
            <w:tcMar>
              <w:top w:w="100" w:type="dxa"/>
              <w:left w:w="100" w:type="dxa"/>
              <w:bottom w:w="100" w:type="dxa"/>
              <w:right w:w="100" w:type="dxa"/>
            </w:tcMar>
          </w:tcPr>
          <w:p w14:paraId="39233792" w14:textId="77777777" w:rsidR="007356D6" w:rsidRDefault="00D7602D">
            <w:pPr>
              <w:numPr>
                <w:ilvl w:val="0"/>
                <w:numId w:val="4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Lack of global broadband/infrastructure activities mapping, with which regulators and operators can assess service availability and quality locally, nationally, and regionally to inform better decision making </w:t>
            </w:r>
          </w:p>
          <w:p w14:paraId="17179E6E" w14:textId="77777777" w:rsidR="007356D6" w:rsidRDefault="00D7602D">
            <w:pPr>
              <w:numPr>
                <w:ilvl w:val="0"/>
                <w:numId w:val="4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Lack of information on connectivity and infras</w:t>
            </w:r>
            <w:r>
              <w:rPr>
                <w:rFonts w:ascii="Times New Roman" w:eastAsia="Times New Roman" w:hAnsi="Times New Roman" w:cs="Times New Roman"/>
                <w:sz w:val="20"/>
                <w:szCs w:val="20"/>
              </w:rPr>
              <w:t>tructure level of schools</w:t>
            </w:r>
          </w:p>
          <w:p w14:paraId="002592E5" w14:textId="77777777" w:rsidR="007356D6" w:rsidRDefault="00D7602D">
            <w:pPr>
              <w:numPr>
                <w:ilvl w:val="0"/>
                <w:numId w:val="4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 resilience to infrastructure and develop sustainable financial models for universal digital access</w:t>
            </w:r>
          </w:p>
        </w:tc>
      </w:tr>
      <w:tr w:rsidR="007356D6" w14:paraId="500FE8C6" w14:textId="77777777">
        <w:trPr>
          <w:trHeight w:val="420"/>
        </w:trPr>
        <w:tc>
          <w:tcPr>
            <w:tcW w:w="2400" w:type="dxa"/>
            <w:shd w:val="clear" w:color="auto" w:fill="auto"/>
            <w:tcMar>
              <w:top w:w="100" w:type="dxa"/>
              <w:left w:w="100" w:type="dxa"/>
              <w:bottom w:w="100" w:type="dxa"/>
              <w:right w:w="100" w:type="dxa"/>
            </w:tcMar>
          </w:tcPr>
          <w:p w14:paraId="3BE08188"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40" w:type="dxa"/>
            <w:shd w:val="clear" w:color="auto" w:fill="auto"/>
            <w:tcMar>
              <w:top w:w="100" w:type="dxa"/>
              <w:left w:w="100" w:type="dxa"/>
              <w:bottom w:w="100" w:type="dxa"/>
              <w:right w:w="100" w:type="dxa"/>
            </w:tcMar>
          </w:tcPr>
          <w:p w14:paraId="2ED60E48" w14:textId="77777777" w:rsidR="007356D6" w:rsidRDefault="00D7602D">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Mapping performed under the following steps:</w:t>
            </w:r>
          </w:p>
          <w:p w14:paraId="64EEABC2" w14:textId="77777777" w:rsidR="007356D6" w:rsidRDefault="00D7602D">
            <w:pPr>
              <w:widowControl w:val="0"/>
              <w:numPr>
                <w:ilvl w:val="0"/>
                <w:numId w:val="18"/>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 Data collection: made available in open access, to assist harmonisation of infrastructure attributes across regions and avoid duplication of financing as subsidies can be allocated to areas truly affected by market failure and regulatory needs linked t</w:t>
            </w:r>
            <w:r>
              <w:rPr>
                <w:rFonts w:ascii="Times New Roman" w:eastAsia="Times New Roman" w:hAnsi="Times New Roman" w:cs="Times New Roman"/>
                <w:sz w:val="20"/>
                <w:szCs w:val="20"/>
              </w:rPr>
              <w:t>o market regulation</w:t>
            </w:r>
          </w:p>
          <w:p w14:paraId="334015E2" w14:textId="77777777" w:rsidR="007356D6" w:rsidRDefault="00D7602D">
            <w:pPr>
              <w:widowControl w:val="0"/>
              <w:numPr>
                <w:ilvl w:val="0"/>
                <w:numId w:val="18"/>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Collection on existing and planned broadband infrastructures, services offered, demand and investment, gaps of broadband coverage, quality of service level and suitable areas of investment.</w:t>
            </w:r>
          </w:p>
          <w:p w14:paraId="3C9441DD" w14:textId="77777777" w:rsidR="007356D6" w:rsidRDefault="00D7602D">
            <w:pPr>
              <w:widowControl w:val="0"/>
              <w:numPr>
                <w:ilvl w:val="0"/>
                <w:numId w:val="18"/>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211B38"/>
                <w:sz w:val="20"/>
                <w:szCs w:val="20"/>
              </w:rPr>
              <w:t>2 - Visualisation:</w:t>
            </w:r>
            <w:r>
              <w:rPr>
                <w:rFonts w:ascii="Times New Roman" w:eastAsia="Times New Roman" w:hAnsi="Times New Roman" w:cs="Times New Roman"/>
                <w:sz w:val="20"/>
                <w:szCs w:val="20"/>
              </w:rPr>
              <w:t xml:space="preserve"> an interactive online mappi</w:t>
            </w:r>
            <w:r>
              <w:rPr>
                <w:rFonts w:ascii="Times New Roman" w:eastAsia="Times New Roman" w:hAnsi="Times New Roman" w:cs="Times New Roman"/>
                <w:sz w:val="20"/>
                <w:szCs w:val="20"/>
              </w:rPr>
              <w:t>ng application that aggregates and visualises various dimensions of global data related to broadband networks (fixed and mobile). The map includes many important layers of geographic context, such as topography, population, disaster risk, fibre nodes, subm</w:t>
            </w:r>
            <w:r>
              <w:rPr>
                <w:rFonts w:ascii="Times New Roman" w:eastAsia="Times New Roman" w:hAnsi="Times New Roman" w:cs="Times New Roman"/>
                <w:sz w:val="20"/>
                <w:szCs w:val="20"/>
              </w:rPr>
              <w:t>arine cables, transport infrastructure, and connectivity statistical indicators..</w:t>
            </w:r>
          </w:p>
          <w:p w14:paraId="1EAF8F0F" w14:textId="77777777" w:rsidR="007356D6" w:rsidRDefault="00D7602D">
            <w:pPr>
              <w:widowControl w:val="0"/>
              <w:numPr>
                <w:ilvl w:val="0"/>
                <w:numId w:val="18"/>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211B38"/>
                <w:sz w:val="20"/>
                <w:szCs w:val="20"/>
              </w:rPr>
              <w:t>3 - Analysis:</w:t>
            </w:r>
            <w:r>
              <w:rPr>
                <w:rFonts w:ascii="Times New Roman" w:eastAsia="Times New Roman" w:hAnsi="Times New Roman" w:cs="Times New Roman"/>
                <w:sz w:val="20"/>
                <w:szCs w:val="20"/>
              </w:rPr>
              <w:t xml:space="preserve"> draw analytics of connectivity gaps on the mapping platform to drive potential correlations. Offer network design and planning to assess the amount of investmen</w:t>
            </w:r>
            <w:r>
              <w:rPr>
                <w:rFonts w:ascii="Times New Roman" w:eastAsia="Times New Roman" w:hAnsi="Times New Roman" w:cs="Times New Roman"/>
                <w:sz w:val="20"/>
                <w:szCs w:val="20"/>
              </w:rPr>
              <w:t>t required to fill the gaps. Telecom manufacturers, operators and other stakeholders have a vested interest in such insights to facilitate the deployment of next-generation networks, simplify their operation and reduce cost to provide affordable connectivi</w:t>
            </w:r>
            <w:r>
              <w:rPr>
                <w:rFonts w:ascii="Times New Roman" w:eastAsia="Times New Roman" w:hAnsi="Times New Roman" w:cs="Times New Roman"/>
                <w:sz w:val="20"/>
                <w:szCs w:val="20"/>
              </w:rPr>
              <w:t xml:space="preserve">ty in rural areas. </w:t>
            </w:r>
          </w:p>
        </w:tc>
      </w:tr>
      <w:tr w:rsidR="007356D6" w14:paraId="7676B056" w14:textId="77777777">
        <w:trPr>
          <w:trHeight w:val="7503"/>
        </w:trPr>
        <w:tc>
          <w:tcPr>
            <w:tcW w:w="2400" w:type="dxa"/>
            <w:shd w:val="clear" w:color="auto" w:fill="auto"/>
            <w:tcMar>
              <w:top w:w="100" w:type="dxa"/>
              <w:left w:w="100" w:type="dxa"/>
              <w:bottom w:w="100" w:type="dxa"/>
              <w:right w:w="100" w:type="dxa"/>
            </w:tcMar>
          </w:tcPr>
          <w:p w14:paraId="0D61C1DC"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Results / Impact / Lessons learned (what worked / remaining challenges)</w:t>
            </w:r>
          </w:p>
        </w:tc>
        <w:tc>
          <w:tcPr>
            <w:tcW w:w="7740" w:type="dxa"/>
            <w:shd w:val="clear" w:color="auto" w:fill="auto"/>
            <w:tcMar>
              <w:top w:w="100" w:type="dxa"/>
              <w:left w:w="100" w:type="dxa"/>
              <w:bottom w:w="100" w:type="dxa"/>
              <w:right w:w="100" w:type="dxa"/>
            </w:tcMar>
          </w:tcPr>
          <w:p w14:paraId="7A56C4CC" w14:textId="77777777" w:rsidR="007356D6" w:rsidRDefault="00D7602D">
            <w:pPr>
              <w:widowControl w:val="0"/>
              <w:numPr>
                <w:ilvl w:val="0"/>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Results: production of </w:t>
            </w:r>
            <w:hyperlink r:id="rId52">
              <w:r>
                <w:rPr>
                  <w:rFonts w:ascii="Times New Roman" w:eastAsia="Times New Roman" w:hAnsi="Times New Roman" w:cs="Times New Roman"/>
                  <w:color w:val="1155CC"/>
                  <w:sz w:val="20"/>
                  <w:szCs w:val="20"/>
                  <w:u w:val="single"/>
                </w:rPr>
                <w:t>ITU Transmission Maps</w:t>
              </w:r>
            </w:hyperlink>
            <w:r>
              <w:rPr>
                <w:rFonts w:ascii="Times New Roman" w:eastAsia="Times New Roman" w:hAnsi="Times New Roman" w:cs="Times New Roman"/>
                <w:sz w:val="20"/>
                <w:szCs w:val="20"/>
              </w:rPr>
              <w:t xml:space="preserve"> / </w:t>
            </w:r>
            <w:hyperlink r:id="rId53">
              <w:r>
                <w:rPr>
                  <w:rFonts w:ascii="Times New Roman" w:eastAsia="Times New Roman" w:hAnsi="Times New Roman" w:cs="Times New Roman"/>
                  <w:color w:val="1155CC"/>
                  <w:sz w:val="20"/>
                  <w:szCs w:val="20"/>
                  <w:u w:val="single"/>
                </w:rPr>
                <w:t>Mapping Platform</w:t>
              </w:r>
            </w:hyperlink>
          </w:p>
          <w:p w14:paraId="6DC8C8EF" w14:textId="77777777" w:rsidR="007356D6" w:rsidRDefault="00D7602D">
            <w:pPr>
              <w:widowControl w:val="0"/>
              <w:numPr>
                <w:ilvl w:val="1"/>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helps to increase the understanding of ICT infrastructure presence around the globe, with focus on researching terrestrial fibre reach at national and international scales.</w:t>
            </w:r>
          </w:p>
          <w:p w14:paraId="4AD1585C" w14:textId="77777777" w:rsidR="007356D6" w:rsidRDefault="00D7602D">
            <w:pPr>
              <w:widowControl w:val="0"/>
              <w:numPr>
                <w:ilvl w:val="1"/>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of December 2021, the database contains the following information on global terrestrial fibre and microwave links</w:t>
            </w:r>
          </w:p>
          <w:p w14:paraId="5C378BAD" w14:textId="77777777" w:rsidR="007356D6" w:rsidRDefault="00D7602D">
            <w:pPr>
              <w:widowControl w:val="0"/>
              <w:numPr>
                <w:ilvl w:val="2"/>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million km of fibre and microwave links</w:t>
            </w:r>
          </w:p>
          <w:p w14:paraId="59F645E9" w14:textId="77777777" w:rsidR="007356D6" w:rsidRDefault="00D7602D">
            <w:pPr>
              <w:widowControl w:val="0"/>
              <w:numPr>
                <w:ilvl w:val="2"/>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44,000 transmission links</w:t>
            </w:r>
          </w:p>
          <w:p w14:paraId="57E4E238" w14:textId="77777777" w:rsidR="007356D6" w:rsidRDefault="00D7602D">
            <w:pPr>
              <w:widowControl w:val="0"/>
              <w:numPr>
                <w:ilvl w:val="2"/>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27,000 nodes (access points to backbone fibres)</w:t>
            </w:r>
          </w:p>
          <w:p w14:paraId="02C771BD" w14:textId="77777777" w:rsidR="007356D6" w:rsidRDefault="00D7602D">
            <w:pPr>
              <w:widowControl w:val="0"/>
              <w:numPr>
                <w:ilvl w:val="2"/>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596 operators</w:t>
            </w:r>
          </w:p>
          <w:p w14:paraId="386308A6" w14:textId="77777777" w:rsidR="007356D6" w:rsidRDefault="00D7602D">
            <w:pPr>
              <w:widowControl w:val="0"/>
              <w:numPr>
                <w:ilvl w:val="1"/>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supp</w:t>
            </w:r>
            <w:r>
              <w:rPr>
                <w:rFonts w:ascii="Times New Roman" w:eastAsia="Times New Roman" w:hAnsi="Times New Roman" w:cs="Times New Roman"/>
                <w:sz w:val="20"/>
                <w:szCs w:val="20"/>
              </w:rPr>
              <w:t>orts ITU’s partnerships - such as PRIDA - in estimating the amount of effort to close connectivity gaps and in how to better provide Internet access to communities, schools, financial hubs, and others.</w:t>
            </w:r>
          </w:p>
          <w:p w14:paraId="4A4F897F" w14:textId="77777777" w:rsidR="007356D6" w:rsidRDefault="00D7602D">
            <w:pPr>
              <w:numPr>
                <w:ilvl w:val="0"/>
                <w:numId w:val="4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685A98AA" w14:textId="77777777" w:rsidR="007356D6" w:rsidRDefault="00D7602D">
            <w:pPr>
              <w:widowControl w:val="0"/>
              <w:numPr>
                <w:ilvl w:val="1"/>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brings together several available global da</w:t>
            </w:r>
            <w:r>
              <w:rPr>
                <w:rFonts w:ascii="Times New Roman" w:eastAsia="Times New Roman" w:hAnsi="Times New Roman" w:cs="Times New Roman"/>
                <w:sz w:val="20"/>
                <w:szCs w:val="20"/>
              </w:rPr>
              <w:t>ta layers relevant to infrastructure in a single user-friendly platform. This includes a combination of compiling and collating relevant public domain datasets, and selectively acquiring key proprietary datasets using internal surveys from ITU members.</w:t>
            </w:r>
          </w:p>
          <w:p w14:paraId="769F8F31" w14:textId="77777777" w:rsidR="007356D6" w:rsidRDefault="00D7602D">
            <w:pPr>
              <w:widowControl w:val="0"/>
              <w:numPr>
                <w:ilvl w:val="1"/>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w:t>
            </w:r>
            <w:r>
              <w:rPr>
                <w:rFonts w:ascii="Times New Roman" w:eastAsia="Times New Roman" w:hAnsi="Times New Roman" w:cs="Times New Roman"/>
                <w:sz w:val="20"/>
                <w:szCs w:val="20"/>
              </w:rPr>
              <w:t xml:space="preserve">facilitates and amplifies use of other  ITU indexes and data portals, such as: </w:t>
            </w:r>
          </w:p>
          <w:p w14:paraId="6245380B" w14:textId="77777777" w:rsidR="007356D6" w:rsidRDefault="00D7602D">
            <w:pPr>
              <w:widowControl w:val="0"/>
              <w:numPr>
                <w:ilvl w:val="2"/>
                <w:numId w:val="1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mapping systems (NMS) survey.</w:t>
            </w:r>
          </w:p>
          <w:p w14:paraId="1483F7E8" w14:textId="77777777" w:rsidR="007356D6" w:rsidRDefault="00D7602D">
            <w:pPr>
              <w:widowControl w:val="0"/>
              <w:numPr>
                <w:ilvl w:val="2"/>
                <w:numId w:val="1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G5 Benchmark</w:t>
            </w:r>
          </w:p>
          <w:p w14:paraId="25CA4711" w14:textId="77777777" w:rsidR="007356D6" w:rsidRDefault="00D7602D">
            <w:pPr>
              <w:widowControl w:val="0"/>
              <w:numPr>
                <w:ilvl w:val="2"/>
                <w:numId w:val="1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ICT Regulatory Tracker</w:t>
            </w:r>
          </w:p>
          <w:p w14:paraId="5C150B1A" w14:textId="77777777" w:rsidR="007356D6" w:rsidRDefault="00D7602D">
            <w:pPr>
              <w:numPr>
                <w:ilvl w:val="1"/>
                <w:numId w:val="4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platform also contributes to SDG 9 by helping to build resilient infrastructure, promoting inclus</w:t>
            </w:r>
            <w:r>
              <w:rPr>
                <w:rFonts w:ascii="Times New Roman" w:eastAsia="Times New Roman" w:hAnsi="Times New Roman" w:cs="Times New Roman"/>
                <w:sz w:val="20"/>
                <w:szCs w:val="20"/>
              </w:rPr>
              <w:t>ive and sustainable industrialisation, and fostering innovation.</w:t>
            </w:r>
          </w:p>
          <w:p w14:paraId="2E57B991" w14:textId="77777777" w:rsidR="007356D6" w:rsidRDefault="00D7602D">
            <w:pPr>
              <w:widowControl w:val="0"/>
              <w:numPr>
                <w:ilvl w:val="0"/>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learned: the maps showcase that broadband data, combined with in-situ data as well as other sources (population, macro-economic indexes etc.), can provide a real benefit to end users by helping reduce investment risks and assess where networks need</w:t>
            </w:r>
            <w:r>
              <w:rPr>
                <w:rFonts w:ascii="Times New Roman" w:eastAsia="Times New Roman" w:hAnsi="Times New Roman" w:cs="Times New Roman"/>
                <w:sz w:val="20"/>
                <w:szCs w:val="20"/>
              </w:rPr>
              <w:t xml:space="preserve"> real buildup. </w:t>
            </w:r>
          </w:p>
        </w:tc>
      </w:tr>
      <w:tr w:rsidR="007356D6" w14:paraId="3CF03E67" w14:textId="77777777">
        <w:trPr>
          <w:trHeight w:val="420"/>
        </w:trPr>
        <w:tc>
          <w:tcPr>
            <w:tcW w:w="1014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257CA14" w14:textId="77777777" w:rsidR="007356D6" w:rsidRDefault="00D7602D">
            <w:pPr>
              <w:spacing w:line="240" w:lineRule="auto"/>
              <w:jc w:val="center"/>
              <w:rPr>
                <w:b/>
              </w:rPr>
            </w:pPr>
            <w:r>
              <w:rPr>
                <w:b/>
              </w:rPr>
              <w:t>2023 Follow-up</w:t>
            </w:r>
          </w:p>
        </w:tc>
      </w:tr>
      <w:tr w:rsidR="007356D6" w14:paraId="416A440D"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796C6C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551744" w14:textId="77777777" w:rsidR="007356D6" w:rsidRDefault="00D7602D">
            <w:pPr>
              <w:numPr>
                <w:ilvl w:val="0"/>
                <w:numId w:val="2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2FE6C4AE"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4C170F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1800E3"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DB35DC8"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314143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593782"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3583CD3"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521765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Was the solution scaled or localised to other regions? If so, please share </w:t>
            </w:r>
            <w:r>
              <w:rPr>
                <w:rFonts w:ascii="Times New Roman" w:eastAsia="Times New Roman" w:hAnsi="Times New Roman" w:cs="Times New Roman"/>
                <w:b/>
                <w:sz w:val="20"/>
                <w:szCs w:val="20"/>
              </w:rPr>
              <w:lastRenderedPageBreak/>
              <w:t>examples</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C568F4"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6320F5E0"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22189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15F33C"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07F0BE7C"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2856B3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6FED55"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3FB1E93"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9C8550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735119"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54BCBEB"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3D0B5DC"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DD8533" w14:textId="77777777" w:rsidR="007356D6" w:rsidRDefault="00D7602D">
            <w:pPr>
              <w:spacing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organisation’s statement that stood out in the survey reply)</w:t>
            </w:r>
          </w:p>
        </w:tc>
      </w:tr>
    </w:tbl>
    <w:p w14:paraId="77DAE0C4" w14:textId="77777777" w:rsidR="007356D6" w:rsidRDefault="007356D6">
      <w:pPr>
        <w:spacing w:line="240" w:lineRule="auto"/>
        <w:rPr>
          <w:rFonts w:ascii="Times New Roman" w:eastAsia="Times New Roman" w:hAnsi="Times New Roman" w:cs="Times New Roman"/>
        </w:rPr>
      </w:pPr>
    </w:p>
    <w:p w14:paraId="22EDBCB6" w14:textId="77777777" w:rsidR="007356D6" w:rsidRDefault="00D7602D">
      <w:pPr>
        <w:spacing w:line="240" w:lineRule="auto"/>
        <w:rPr>
          <w:rFonts w:ascii="Times New Roman" w:eastAsia="Times New Roman" w:hAnsi="Times New Roman" w:cs="Times New Roman"/>
        </w:rPr>
      </w:pPr>
      <w:r>
        <w:br w:type="page"/>
      </w:r>
    </w:p>
    <w:p w14:paraId="156D4F30" w14:textId="77777777" w:rsidR="007356D6" w:rsidRDefault="007356D6">
      <w:pPr>
        <w:spacing w:line="240" w:lineRule="auto"/>
        <w:rPr>
          <w:rFonts w:ascii="Times New Roman" w:eastAsia="Times New Roman" w:hAnsi="Times New Roman" w:cs="Times New Roman"/>
        </w:rPr>
      </w:pPr>
    </w:p>
    <w:tbl>
      <w:tblPr>
        <w:tblStyle w:val="aff4"/>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421E7186" w14:textId="77777777">
        <w:trPr>
          <w:trHeight w:val="420"/>
        </w:trPr>
        <w:tc>
          <w:tcPr>
            <w:tcW w:w="2391" w:type="dxa"/>
            <w:shd w:val="clear" w:color="auto" w:fill="CFE2F3"/>
            <w:tcMar>
              <w:top w:w="100" w:type="dxa"/>
              <w:left w:w="100" w:type="dxa"/>
              <w:bottom w:w="100" w:type="dxa"/>
              <w:right w:w="100" w:type="dxa"/>
            </w:tcMar>
          </w:tcPr>
          <w:p w14:paraId="1D839957"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Case 2:</w:t>
            </w:r>
          </w:p>
        </w:tc>
        <w:tc>
          <w:tcPr>
            <w:tcW w:w="7749" w:type="dxa"/>
            <w:shd w:val="clear" w:color="auto" w:fill="CFE2F3"/>
            <w:tcMar>
              <w:top w:w="100" w:type="dxa"/>
              <w:left w:w="100" w:type="dxa"/>
              <w:bottom w:w="100" w:type="dxa"/>
              <w:right w:w="100" w:type="dxa"/>
            </w:tcMar>
          </w:tcPr>
          <w:p w14:paraId="5C9E5B39" w14:textId="77777777" w:rsidR="007356D6" w:rsidRDefault="00D7602D">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ITU-D: Last Mile Connectivity (LMS) Solutions Guide</w:t>
            </w:r>
          </w:p>
        </w:tc>
      </w:tr>
      <w:tr w:rsidR="007356D6" w14:paraId="5E6267DC" w14:textId="77777777">
        <w:trPr>
          <w:trHeight w:val="420"/>
        </w:trPr>
        <w:tc>
          <w:tcPr>
            <w:tcW w:w="2391" w:type="dxa"/>
            <w:shd w:val="clear" w:color="auto" w:fill="auto"/>
            <w:tcMar>
              <w:top w:w="100" w:type="dxa"/>
              <w:left w:w="100" w:type="dxa"/>
              <w:bottom w:w="100" w:type="dxa"/>
              <w:right w:w="100" w:type="dxa"/>
            </w:tcMar>
          </w:tcPr>
          <w:p w14:paraId="24F5F706"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9" w:type="dxa"/>
            <w:shd w:val="clear" w:color="auto" w:fill="auto"/>
            <w:tcMar>
              <w:top w:w="100" w:type="dxa"/>
              <w:left w:w="100" w:type="dxa"/>
              <w:bottom w:w="100" w:type="dxa"/>
              <w:right w:w="100" w:type="dxa"/>
            </w:tcMar>
          </w:tcPr>
          <w:p w14:paraId="0B1276C0"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Global</w:t>
            </w:r>
          </w:p>
        </w:tc>
      </w:tr>
      <w:tr w:rsidR="007356D6" w14:paraId="7B39CCBF" w14:textId="77777777">
        <w:trPr>
          <w:trHeight w:val="420"/>
        </w:trPr>
        <w:tc>
          <w:tcPr>
            <w:tcW w:w="2391" w:type="dxa"/>
            <w:shd w:val="clear" w:color="auto" w:fill="auto"/>
            <w:tcMar>
              <w:top w:w="100" w:type="dxa"/>
              <w:left w:w="100" w:type="dxa"/>
              <w:bottom w:w="100" w:type="dxa"/>
              <w:right w:w="100" w:type="dxa"/>
            </w:tcMar>
          </w:tcPr>
          <w:p w14:paraId="00374109"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9" w:type="dxa"/>
            <w:shd w:val="clear" w:color="auto" w:fill="auto"/>
            <w:tcMar>
              <w:top w:w="100" w:type="dxa"/>
              <w:left w:w="100" w:type="dxa"/>
              <w:bottom w:w="100" w:type="dxa"/>
              <w:right w:w="100" w:type="dxa"/>
            </w:tcMar>
          </w:tcPr>
          <w:p w14:paraId="62C6AF23"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 EUR 250.000,00 yearly since 2019 </w:t>
            </w:r>
          </w:p>
        </w:tc>
      </w:tr>
      <w:tr w:rsidR="007356D6" w14:paraId="5709A0C9" w14:textId="77777777">
        <w:trPr>
          <w:trHeight w:val="420"/>
        </w:trPr>
        <w:tc>
          <w:tcPr>
            <w:tcW w:w="2391" w:type="dxa"/>
            <w:shd w:val="clear" w:color="auto" w:fill="auto"/>
            <w:tcMar>
              <w:top w:w="100" w:type="dxa"/>
              <w:left w:w="100" w:type="dxa"/>
              <w:bottom w:w="100" w:type="dxa"/>
              <w:right w:w="100" w:type="dxa"/>
            </w:tcMar>
          </w:tcPr>
          <w:p w14:paraId="7370AD5A"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9" w:type="dxa"/>
            <w:shd w:val="clear" w:color="auto" w:fill="auto"/>
            <w:tcMar>
              <w:top w:w="100" w:type="dxa"/>
              <w:left w:w="100" w:type="dxa"/>
              <w:bottom w:w="100" w:type="dxa"/>
              <w:right w:w="100" w:type="dxa"/>
            </w:tcMar>
          </w:tcPr>
          <w:p w14:paraId="44B73A2D" w14:textId="77777777" w:rsidR="007356D6" w:rsidRDefault="00D7602D">
            <w:pPr>
              <w:widowControl w:val="0"/>
              <w:numPr>
                <w:ilvl w:val="0"/>
                <w:numId w:val="3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FNS/ITU-D</w:t>
            </w:r>
          </w:p>
          <w:p w14:paraId="443F9A27" w14:textId="77777777" w:rsidR="007356D6" w:rsidRDefault="00D7602D">
            <w:pPr>
              <w:widowControl w:val="0"/>
              <w:numPr>
                <w:ilvl w:val="0"/>
                <w:numId w:val="3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Ministry of Science and Technology, South Korea (MSIT)</w:t>
            </w:r>
          </w:p>
        </w:tc>
      </w:tr>
      <w:tr w:rsidR="007356D6" w14:paraId="57E905E1" w14:textId="77777777">
        <w:trPr>
          <w:trHeight w:val="420"/>
        </w:trPr>
        <w:tc>
          <w:tcPr>
            <w:tcW w:w="2391" w:type="dxa"/>
            <w:shd w:val="clear" w:color="auto" w:fill="auto"/>
            <w:tcMar>
              <w:top w:w="100" w:type="dxa"/>
              <w:left w:w="100" w:type="dxa"/>
              <w:bottom w:w="100" w:type="dxa"/>
              <w:right w:w="100" w:type="dxa"/>
            </w:tcMar>
          </w:tcPr>
          <w:p w14:paraId="276A17F6"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9" w:type="dxa"/>
            <w:shd w:val="clear" w:color="auto" w:fill="auto"/>
            <w:tcMar>
              <w:top w:w="100" w:type="dxa"/>
              <w:left w:w="100" w:type="dxa"/>
              <w:bottom w:w="100" w:type="dxa"/>
              <w:right w:w="100" w:type="dxa"/>
            </w:tcMar>
          </w:tcPr>
          <w:p w14:paraId="2C260326" w14:textId="77777777" w:rsidR="007356D6" w:rsidRDefault="00D7602D">
            <w:pPr>
              <w:numPr>
                <w:ilvl w:val="0"/>
                <w:numId w:val="6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Low benchmarks availability for designing middle and last mile connectivity   networks.</w:t>
            </w:r>
          </w:p>
          <w:p w14:paraId="495386EC" w14:textId="77777777" w:rsidR="007356D6" w:rsidRDefault="00D7602D">
            <w:pPr>
              <w:numPr>
                <w:ilvl w:val="0"/>
                <w:numId w:val="6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Data/tools to support decision-maki</w:t>
            </w:r>
            <w:r>
              <w:rPr>
                <w:rFonts w:ascii="Times New Roman" w:eastAsia="Times New Roman" w:hAnsi="Times New Roman" w:cs="Times New Roman"/>
                <w:sz w:val="20"/>
                <w:szCs w:val="20"/>
              </w:rPr>
              <w:t>ng and assist designers when selecting technical solutions are often proprietary.</w:t>
            </w:r>
          </w:p>
          <w:p w14:paraId="246BD577" w14:textId="77777777" w:rsidR="007356D6" w:rsidRDefault="00D7602D">
            <w:pPr>
              <w:numPr>
                <w:ilvl w:val="0"/>
                <w:numId w:val="6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Importance to assess economic feasibility and cost of connectivity to build solutions.</w:t>
            </w:r>
          </w:p>
        </w:tc>
      </w:tr>
      <w:tr w:rsidR="007356D6" w14:paraId="1327C7E8" w14:textId="77777777">
        <w:trPr>
          <w:trHeight w:val="420"/>
        </w:trPr>
        <w:tc>
          <w:tcPr>
            <w:tcW w:w="2391" w:type="dxa"/>
            <w:shd w:val="clear" w:color="auto" w:fill="auto"/>
            <w:tcMar>
              <w:top w:w="100" w:type="dxa"/>
              <w:left w:w="100" w:type="dxa"/>
              <w:bottom w:w="100" w:type="dxa"/>
              <w:right w:w="100" w:type="dxa"/>
            </w:tcMar>
          </w:tcPr>
          <w:p w14:paraId="219365CD"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49" w:type="dxa"/>
            <w:shd w:val="clear" w:color="auto" w:fill="auto"/>
            <w:tcMar>
              <w:top w:w="100" w:type="dxa"/>
              <w:left w:w="100" w:type="dxa"/>
              <w:bottom w:w="100" w:type="dxa"/>
              <w:right w:w="100" w:type="dxa"/>
            </w:tcMar>
          </w:tcPr>
          <w:p w14:paraId="2EB533E1" w14:textId="77777777" w:rsidR="007356D6" w:rsidRDefault="00D7602D">
            <w:pPr>
              <w:numPr>
                <w:ilvl w:val="0"/>
                <w:numId w:val="1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key technologies, pol</w:t>
            </w:r>
            <w:r>
              <w:rPr>
                <w:rFonts w:ascii="Times New Roman" w:eastAsia="Times New Roman" w:hAnsi="Times New Roman" w:cs="Times New Roman"/>
                <w:sz w:val="20"/>
                <w:szCs w:val="20"/>
              </w:rPr>
              <w:t>icies, and business models to build and expand last mile connectivity, especially in rural and remote areas.</w:t>
            </w:r>
          </w:p>
          <w:p w14:paraId="7894005F" w14:textId="77777777" w:rsidR="007356D6" w:rsidRDefault="00D7602D">
            <w:pPr>
              <w:numPr>
                <w:ilvl w:val="0"/>
                <w:numId w:val="1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Build a comprehensive database of connectivity parameters working across ITU-D regional offices.</w:t>
            </w:r>
          </w:p>
          <w:p w14:paraId="60DF4135"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Build software tools to simulate design and cost of networks.</w:t>
            </w:r>
          </w:p>
          <w:p w14:paraId="6FD58277"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 methodologies for topology and cost estimation.</w:t>
            </w:r>
          </w:p>
          <w:p w14:paraId="6CFB04DE"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Produce empirical modelling of network’s technical and financial aspects.</w:t>
            </w:r>
          </w:p>
          <w:p w14:paraId="74F69961"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open data and collect data from regulators and stakeholders </w:t>
            </w:r>
            <w:r>
              <w:rPr>
                <w:rFonts w:ascii="Times New Roman" w:eastAsia="Times New Roman" w:hAnsi="Times New Roman" w:cs="Times New Roman"/>
                <w:sz w:val="20"/>
                <w:szCs w:val="20"/>
              </w:rPr>
              <w:t>in various countries.</w:t>
            </w:r>
          </w:p>
          <w:p w14:paraId="33670B43"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Simulate projects using real data.</w:t>
            </w:r>
          </w:p>
        </w:tc>
      </w:tr>
      <w:tr w:rsidR="007356D6" w14:paraId="6170DF09" w14:textId="77777777">
        <w:trPr>
          <w:trHeight w:val="420"/>
        </w:trPr>
        <w:tc>
          <w:tcPr>
            <w:tcW w:w="2391" w:type="dxa"/>
            <w:shd w:val="clear" w:color="auto" w:fill="auto"/>
            <w:tcMar>
              <w:top w:w="100" w:type="dxa"/>
              <w:left w:w="100" w:type="dxa"/>
              <w:bottom w:w="100" w:type="dxa"/>
              <w:right w:w="100" w:type="dxa"/>
            </w:tcMar>
          </w:tcPr>
          <w:p w14:paraId="782CDC74"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749" w:type="dxa"/>
            <w:shd w:val="clear" w:color="auto" w:fill="auto"/>
            <w:tcMar>
              <w:top w:w="100" w:type="dxa"/>
              <w:left w:w="100" w:type="dxa"/>
              <w:bottom w:w="100" w:type="dxa"/>
              <w:right w:w="100" w:type="dxa"/>
            </w:tcMar>
          </w:tcPr>
          <w:p w14:paraId="6C1251CA" w14:textId="77777777" w:rsidR="007356D6" w:rsidRDefault="00D7602D">
            <w:pPr>
              <w:widowControl w:val="0"/>
              <w:numPr>
                <w:ilvl w:val="0"/>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15D891C5" w14:textId="77777777" w:rsidR="007356D6" w:rsidRDefault="00D7602D">
            <w:pPr>
              <w:widowControl w:val="0"/>
              <w:numPr>
                <w:ilvl w:val="1"/>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Publication of </w:t>
            </w:r>
            <w:hyperlink r:id="rId54">
              <w:r>
                <w:rPr>
                  <w:rFonts w:ascii="Times New Roman" w:eastAsia="Times New Roman" w:hAnsi="Times New Roman" w:cs="Times New Roman"/>
                  <w:color w:val="1155CC"/>
                  <w:sz w:val="20"/>
                  <w:szCs w:val="20"/>
                  <w:u w:val="single"/>
                </w:rPr>
                <w:t>Last Mile Connectivity Solutions Guide</w:t>
              </w:r>
            </w:hyperlink>
            <w:r>
              <w:rPr>
                <w:rFonts w:ascii="Times New Roman" w:eastAsia="Times New Roman" w:hAnsi="Times New Roman" w:cs="Times New Roman"/>
                <w:sz w:val="20"/>
                <w:szCs w:val="20"/>
              </w:rPr>
              <w:t>, featuring</w:t>
            </w:r>
          </w:p>
          <w:p w14:paraId="305CEEE3" w14:textId="77777777" w:rsidR="007356D6" w:rsidRDefault="00D7602D">
            <w:pPr>
              <w:widowControl w:val="0"/>
              <w:numPr>
                <w:ilvl w:val="2"/>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Key challenges to address the connectivity gaps for scaling and sustaining the connectivity.</w:t>
            </w:r>
          </w:p>
          <w:p w14:paraId="78453668" w14:textId="77777777" w:rsidR="007356D6" w:rsidRDefault="00D7602D">
            <w:pPr>
              <w:widowControl w:val="0"/>
              <w:numPr>
                <w:ilvl w:val="2"/>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Key technologies, policies, and business models to build and expand last mile connectivity.</w:t>
            </w:r>
          </w:p>
          <w:p w14:paraId="1245199D" w14:textId="77777777" w:rsidR="007356D6" w:rsidRDefault="00D7602D">
            <w:pPr>
              <w:widowControl w:val="0"/>
              <w:numPr>
                <w:ilvl w:val="2"/>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Collaborative strategies to ensure that people at the bottom of the soc</w:t>
            </w:r>
            <w:r>
              <w:rPr>
                <w:rFonts w:ascii="Times New Roman" w:eastAsia="Times New Roman" w:hAnsi="Times New Roman" w:cs="Times New Roman"/>
                <w:sz w:val="20"/>
                <w:szCs w:val="20"/>
              </w:rPr>
              <w:t>ial pyramid achieve reliable and meaningful connectivity.</w:t>
            </w:r>
          </w:p>
          <w:p w14:paraId="7FF449D0" w14:textId="77777777" w:rsidR="007356D6" w:rsidRDefault="00D7602D">
            <w:pPr>
              <w:widowControl w:val="0"/>
              <w:numPr>
                <w:ilvl w:val="2"/>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Case studies of successful rollout of last mile connectivity projects deployment.</w:t>
            </w:r>
          </w:p>
          <w:p w14:paraId="59C0B017" w14:textId="77777777" w:rsidR="007356D6" w:rsidRDefault="00D7602D">
            <w:pPr>
              <w:widowControl w:val="0"/>
              <w:numPr>
                <w:ilvl w:val="1"/>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Establishment of LMC products - e.g., </w:t>
            </w:r>
            <w:hyperlink r:id="rId55">
              <w:r>
                <w:rPr>
                  <w:rFonts w:ascii="Times New Roman" w:eastAsia="Times New Roman" w:hAnsi="Times New Roman" w:cs="Times New Roman"/>
                  <w:color w:val="1155CC"/>
                  <w:sz w:val="20"/>
                  <w:szCs w:val="20"/>
                  <w:u w:val="single"/>
                </w:rPr>
                <w:t>https://connectschools.onlin</w:t>
              </w:r>
              <w:r>
                <w:rPr>
                  <w:rFonts w:ascii="Times New Roman" w:eastAsia="Times New Roman" w:hAnsi="Times New Roman" w:cs="Times New Roman"/>
                  <w:color w:val="1155CC"/>
                  <w:sz w:val="20"/>
                  <w:szCs w:val="20"/>
                  <w:u w:val="single"/>
                </w:rPr>
                <w:t>e</w:t>
              </w:r>
            </w:hyperlink>
            <w:r>
              <w:rPr>
                <w:rFonts w:ascii="Times New Roman" w:eastAsia="Times New Roman" w:hAnsi="Times New Roman" w:cs="Times New Roman"/>
                <w:sz w:val="20"/>
                <w:szCs w:val="20"/>
              </w:rPr>
              <w:t>, a school community broadband calculator</w:t>
            </w:r>
          </w:p>
          <w:p w14:paraId="50304230" w14:textId="77777777" w:rsidR="007356D6" w:rsidRDefault="00D7602D">
            <w:pPr>
              <w:widowControl w:val="0"/>
              <w:numPr>
                <w:ilvl w:val="0"/>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6668117D" w14:textId="77777777" w:rsidR="007356D6" w:rsidRDefault="00D7602D">
            <w:pPr>
              <w:widowControl w:val="0"/>
              <w:numPr>
                <w:ilvl w:val="1"/>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Development of additional resources to help member states address last-mile connectivity challenges, including a database of case studies (</w:t>
            </w:r>
            <w:hyperlink r:id="rId56">
              <w:r>
                <w:rPr>
                  <w:rFonts w:ascii="Times New Roman" w:eastAsia="Times New Roman" w:hAnsi="Times New Roman" w:cs="Times New Roman"/>
                  <w:color w:val="1155CC"/>
                  <w:sz w:val="20"/>
                  <w:szCs w:val="20"/>
                  <w:u w:val="single"/>
                </w:rPr>
                <w:t>LMC Case Studies Database</w:t>
              </w:r>
            </w:hyperlink>
            <w:r>
              <w:rPr>
                <w:rFonts w:ascii="Times New Roman" w:eastAsia="Times New Roman" w:hAnsi="Times New Roman" w:cs="Times New Roman"/>
                <w:sz w:val="20"/>
                <w:szCs w:val="20"/>
              </w:rPr>
              <w:t xml:space="preserve">), </w:t>
            </w:r>
            <w:hyperlink r:id="rId57">
              <w:r>
                <w:rPr>
                  <w:rFonts w:ascii="Times New Roman" w:eastAsia="Times New Roman" w:hAnsi="Times New Roman" w:cs="Times New Roman"/>
                  <w:color w:val="1155CC"/>
                  <w:sz w:val="20"/>
                  <w:szCs w:val="20"/>
                  <w:u w:val="single"/>
                </w:rPr>
                <w:t>capacity-development courses on last mile connectivity</w:t>
              </w:r>
            </w:hyperlink>
            <w:r>
              <w:rPr>
                <w:rFonts w:ascii="Times New Roman" w:eastAsia="Times New Roman" w:hAnsi="Times New Roman" w:cs="Times New Roman"/>
                <w:sz w:val="20"/>
                <w:szCs w:val="20"/>
              </w:rPr>
              <w:t>, and interactive last-mi</w:t>
            </w:r>
            <w:r>
              <w:rPr>
                <w:rFonts w:ascii="Times New Roman" w:eastAsia="Times New Roman" w:hAnsi="Times New Roman" w:cs="Times New Roman"/>
                <w:sz w:val="20"/>
                <w:szCs w:val="20"/>
              </w:rPr>
              <w:t>le connectivity diagnostic and decision-making tools.</w:t>
            </w:r>
          </w:p>
          <w:p w14:paraId="4173D163" w14:textId="77777777" w:rsidR="007356D6" w:rsidRDefault="00D7602D">
            <w:pPr>
              <w:widowControl w:val="0"/>
              <w:numPr>
                <w:ilvl w:val="1"/>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Building broadband access networks and local area networks (LAN) in localities</w:t>
            </w:r>
          </w:p>
          <w:p w14:paraId="133488CD" w14:textId="77777777" w:rsidR="007356D6" w:rsidRDefault="00D7602D">
            <w:pPr>
              <w:widowControl w:val="0"/>
              <w:numPr>
                <w:ilvl w:val="1"/>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Connecting schools and hospitals to broadband transport backbones.</w:t>
            </w:r>
          </w:p>
        </w:tc>
      </w:tr>
      <w:tr w:rsidR="007356D6" w14:paraId="45E7957C" w14:textId="77777777">
        <w:trPr>
          <w:trHeight w:val="420"/>
        </w:trPr>
        <w:tc>
          <w:tcPr>
            <w:tcW w:w="1014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2294FCF" w14:textId="77777777" w:rsidR="007356D6" w:rsidRDefault="00D7602D">
            <w:pPr>
              <w:spacing w:line="240" w:lineRule="auto"/>
              <w:jc w:val="center"/>
              <w:rPr>
                <w:b/>
              </w:rPr>
            </w:pPr>
            <w:r>
              <w:rPr>
                <w:b/>
              </w:rPr>
              <w:t>2023 Follow-up</w:t>
            </w:r>
          </w:p>
        </w:tc>
      </w:tr>
      <w:tr w:rsidR="007356D6" w14:paraId="0BBF4F2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5E955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949FB3" w14:textId="77777777" w:rsidR="007356D6" w:rsidRDefault="00D7602D">
            <w:pPr>
              <w:numPr>
                <w:ilvl w:val="0"/>
                <w:numId w:val="2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1B04F254"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54B41D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Did any new problems emerge during </w:t>
            </w:r>
            <w:r>
              <w:rPr>
                <w:rFonts w:ascii="Times New Roman" w:eastAsia="Times New Roman" w:hAnsi="Times New Roman" w:cs="Times New Roman"/>
                <w:b/>
                <w:sz w:val="20"/>
                <w:szCs w:val="20"/>
              </w:rPr>
              <w:lastRenderedPageBreak/>
              <w:t>implementation?</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2985F5"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699BB5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7D150C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143749"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A3FFB3A"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2B3FD6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0E00C3"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D21798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395B75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A835B6"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498FB4C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8403E5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A41A40"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92205B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9174AF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A33480"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ECDB9B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9430B96"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2050F0"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45597F1C" w14:textId="77777777" w:rsidR="007356D6" w:rsidRDefault="00D7602D">
      <w:pPr>
        <w:spacing w:line="240" w:lineRule="auto"/>
        <w:rPr>
          <w:rFonts w:ascii="Times New Roman" w:eastAsia="Times New Roman" w:hAnsi="Times New Roman" w:cs="Times New Roman"/>
        </w:rPr>
      </w:pPr>
      <w:r>
        <w:br w:type="page"/>
      </w:r>
    </w:p>
    <w:p w14:paraId="156E3DC6" w14:textId="77777777" w:rsidR="007356D6" w:rsidRDefault="007356D6">
      <w:pPr>
        <w:spacing w:line="240" w:lineRule="auto"/>
        <w:rPr>
          <w:rFonts w:ascii="Times New Roman" w:eastAsia="Times New Roman" w:hAnsi="Times New Roman" w:cs="Times New Roman"/>
          <w:b/>
          <w:sz w:val="24"/>
          <w:szCs w:val="24"/>
        </w:rPr>
      </w:pPr>
    </w:p>
    <w:tbl>
      <w:tblPr>
        <w:tblStyle w:val="aff5"/>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4341369B" w14:textId="77777777">
        <w:trPr>
          <w:trHeight w:val="420"/>
        </w:trPr>
        <w:tc>
          <w:tcPr>
            <w:tcW w:w="2391" w:type="dxa"/>
            <w:shd w:val="clear" w:color="auto" w:fill="CFE2F3"/>
            <w:tcMar>
              <w:top w:w="100" w:type="dxa"/>
              <w:left w:w="100" w:type="dxa"/>
              <w:bottom w:w="100" w:type="dxa"/>
              <w:right w:w="100" w:type="dxa"/>
            </w:tcMar>
          </w:tcPr>
          <w:p w14:paraId="41449E49" w14:textId="77777777" w:rsidR="007356D6" w:rsidRDefault="00D7602D">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3:</w:t>
            </w:r>
          </w:p>
        </w:tc>
        <w:tc>
          <w:tcPr>
            <w:tcW w:w="7749" w:type="dxa"/>
            <w:shd w:val="clear" w:color="auto" w:fill="CFE2F3"/>
            <w:tcMar>
              <w:top w:w="100" w:type="dxa"/>
              <w:left w:w="100" w:type="dxa"/>
              <w:bottom w:w="100" w:type="dxa"/>
              <w:right w:w="100" w:type="dxa"/>
            </w:tcMar>
          </w:tcPr>
          <w:p w14:paraId="007929B2" w14:textId="77777777" w:rsidR="007356D6" w:rsidRDefault="00D7602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ITU-D: Spectrum Management System for Developing Countries (SMS4DC)</w:t>
            </w:r>
          </w:p>
        </w:tc>
      </w:tr>
      <w:tr w:rsidR="007356D6" w14:paraId="5306BA2E" w14:textId="77777777">
        <w:trPr>
          <w:trHeight w:val="420"/>
        </w:trPr>
        <w:tc>
          <w:tcPr>
            <w:tcW w:w="2391" w:type="dxa"/>
            <w:shd w:val="clear" w:color="auto" w:fill="auto"/>
            <w:tcMar>
              <w:top w:w="100" w:type="dxa"/>
              <w:left w:w="100" w:type="dxa"/>
              <w:bottom w:w="100" w:type="dxa"/>
              <w:right w:w="100" w:type="dxa"/>
            </w:tcMar>
          </w:tcPr>
          <w:p w14:paraId="37D8A0D7"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9" w:type="dxa"/>
            <w:shd w:val="clear" w:color="auto" w:fill="auto"/>
            <w:tcMar>
              <w:top w:w="100" w:type="dxa"/>
              <w:left w:w="100" w:type="dxa"/>
              <w:bottom w:w="100" w:type="dxa"/>
              <w:right w:w="100" w:type="dxa"/>
            </w:tcMar>
          </w:tcPr>
          <w:p w14:paraId="0C9F36D1"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Global</w:t>
            </w:r>
          </w:p>
        </w:tc>
      </w:tr>
      <w:tr w:rsidR="007356D6" w14:paraId="117B2242" w14:textId="77777777">
        <w:trPr>
          <w:trHeight w:val="420"/>
        </w:trPr>
        <w:tc>
          <w:tcPr>
            <w:tcW w:w="2391" w:type="dxa"/>
            <w:shd w:val="clear" w:color="auto" w:fill="auto"/>
            <w:tcMar>
              <w:top w:w="100" w:type="dxa"/>
              <w:left w:w="100" w:type="dxa"/>
              <w:bottom w:w="100" w:type="dxa"/>
              <w:right w:w="100" w:type="dxa"/>
            </w:tcMar>
          </w:tcPr>
          <w:p w14:paraId="442150C6"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9" w:type="dxa"/>
            <w:shd w:val="clear" w:color="auto" w:fill="auto"/>
            <w:tcMar>
              <w:top w:w="100" w:type="dxa"/>
              <w:left w:w="100" w:type="dxa"/>
              <w:bottom w:w="100" w:type="dxa"/>
              <w:right w:w="100" w:type="dxa"/>
            </w:tcMar>
          </w:tcPr>
          <w:p w14:paraId="4D24A282"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 EUR 250.000,00 yearly since 2015 </w:t>
            </w:r>
          </w:p>
        </w:tc>
      </w:tr>
      <w:tr w:rsidR="007356D6" w14:paraId="0B05B67B" w14:textId="77777777">
        <w:trPr>
          <w:trHeight w:val="420"/>
        </w:trPr>
        <w:tc>
          <w:tcPr>
            <w:tcW w:w="2391" w:type="dxa"/>
            <w:shd w:val="clear" w:color="auto" w:fill="auto"/>
            <w:tcMar>
              <w:top w:w="100" w:type="dxa"/>
              <w:left w:w="100" w:type="dxa"/>
              <w:bottom w:w="100" w:type="dxa"/>
              <w:right w:w="100" w:type="dxa"/>
            </w:tcMar>
          </w:tcPr>
          <w:p w14:paraId="3BDDE6F7"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9" w:type="dxa"/>
            <w:shd w:val="clear" w:color="auto" w:fill="auto"/>
            <w:tcMar>
              <w:top w:w="100" w:type="dxa"/>
              <w:left w:w="100" w:type="dxa"/>
              <w:bottom w:w="100" w:type="dxa"/>
              <w:right w:w="100" w:type="dxa"/>
            </w:tcMar>
          </w:tcPr>
          <w:p w14:paraId="4AF252EB" w14:textId="77777777" w:rsidR="007356D6" w:rsidRDefault="00D7602D">
            <w:pPr>
              <w:widowControl w:val="0"/>
              <w:numPr>
                <w:ilvl w:val="0"/>
                <w:numId w:val="3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FNS/ITU-D</w:t>
            </w:r>
          </w:p>
          <w:p w14:paraId="4D63DC42" w14:textId="77777777" w:rsidR="007356D6" w:rsidRDefault="00D7602D">
            <w:pPr>
              <w:widowControl w:val="0"/>
              <w:numPr>
                <w:ilvl w:val="0"/>
                <w:numId w:val="3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Ministry of Science and Technology, South Korea (MSIT)</w:t>
            </w:r>
          </w:p>
        </w:tc>
      </w:tr>
      <w:tr w:rsidR="007356D6" w14:paraId="021AF66F" w14:textId="77777777">
        <w:trPr>
          <w:trHeight w:val="420"/>
        </w:trPr>
        <w:tc>
          <w:tcPr>
            <w:tcW w:w="2391" w:type="dxa"/>
            <w:shd w:val="clear" w:color="auto" w:fill="auto"/>
            <w:tcMar>
              <w:top w:w="100" w:type="dxa"/>
              <w:left w:w="100" w:type="dxa"/>
              <w:bottom w:w="100" w:type="dxa"/>
              <w:right w:w="100" w:type="dxa"/>
            </w:tcMar>
          </w:tcPr>
          <w:p w14:paraId="753652BD"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9" w:type="dxa"/>
            <w:shd w:val="clear" w:color="auto" w:fill="auto"/>
            <w:tcMar>
              <w:top w:w="100" w:type="dxa"/>
              <w:left w:w="100" w:type="dxa"/>
              <w:bottom w:w="100" w:type="dxa"/>
              <w:right w:w="100" w:type="dxa"/>
            </w:tcMar>
          </w:tcPr>
          <w:p w14:paraId="4011167E" w14:textId="77777777" w:rsidR="007356D6" w:rsidRDefault="00D7602D">
            <w:pPr>
              <w:numPr>
                <w:ilvl w:val="0"/>
                <w:numId w:val="6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shareable effective spectrum management tools and experiences for sustainable economic and social development, including developing computerised frequency management and monitoring systems.</w:t>
            </w:r>
          </w:p>
          <w:p w14:paraId="6A98C719" w14:textId="77777777" w:rsidR="007356D6" w:rsidRDefault="00D7602D">
            <w:pPr>
              <w:numPr>
                <w:ilvl w:val="0"/>
                <w:numId w:val="6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Assistance to the transition to digital te</w:t>
            </w:r>
            <w:r>
              <w:rPr>
                <w:rFonts w:ascii="Times New Roman" w:eastAsia="Times New Roman" w:hAnsi="Times New Roman" w:cs="Times New Roman"/>
                <w:sz w:val="20"/>
                <w:szCs w:val="20"/>
              </w:rPr>
              <w:t>rrestrial television broadcasting (DTTB)</w:t>
            </w:r>
          </w:p>
        </w:tc>
      </w:tr>
      <w:tr w:rsidR="007356D6" w14:paraId="2E4D4F20" w14:textId="77777777">
        <w:trPr>
          <w:trHeight w:val="420"/>
        </w:trPr>
        <w:tc>
          <w:tcPr>
            <w:tcW w:w="2391" w:type="dxa"/>
            <w:shd w:val="clear" w:color="auto" w:fill="auto"/>
            <w:tcMar>
              <w:top w:w="100" w:type="dxa"/>
              <w:left w:w="100" w:type="dxa"/>
              <w:bottom w:w="100" w:type="dxa"/>
              <w:right w:w="100" w:type="dxa"/>
            </w:tcMar>
          </w:tcPr>
          <w:p w14:paraId="5F6CA676"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49" w:type="dxa"/>
            <w:shd w:val="clear" w:color="auto" w:fill="auto"/>
            <w:tcMar>
              <w:top w:w="100" w:type="dxa"/>
              <w:left w:w="100" w:type="dxa"/>
              <w:bottom w:w="100" w:type="dxa"/>
              <w:right w:w="100" w:type="dxa"/>
            </w:tcMar>
          </w:tcPr>
          <w:p w14:paraId="663AE82A"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Development of a spectrum management software/tool (SMS4DC)</w:t>
            </w:r>
          </w:p>
          <w:p w14:paraId="7CE9884B"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Direct assistance in spectrum management including cross-border frequency coordination</w:t>
            </w:r>
          </w:p>
          <w:p w14:paraId="261E9ACF"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Development of national roadmaps and guidelines for DTTB transition</w:t>
            </w:r>
          </w:p>
          <w:p w14:paraId="7F25D0E3"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Digital Switch-Over (DSO) database maintenance and update </w:t>
            </w:r>
          </w:p>
          <w:p w14:paraId="68CB7E90"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Spectrum management training program</w:t>
            </w:r>
          </w:p>
          <w:p w14:paraId="61C33BF1"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Compilation and analysis of the regulatory policies concerning human exposure to electromagn</w:t>
            </w:r>
            <w:r>
              <w:rPr>
                <w:rFonts w:ascii="Times New Roman" w:eastAsia="Times New Roman" w:hAnsi="Times New Roman" w:cs="Times New Roman"/>
                <w:sz w:val="20"/>
                <w:szCs w:val="20"/>
              </w:rPr>
              <w:t>etic fields (EMF) for authorising the installation of radiocommunication sites</w:t>
            </w:r>
          </w:p>
          <w:p w14:paraId="19DF8064"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on the effects of EMF from radiocommunication systems, and on technical regulations on the limits for maximum exposure</w:t>
            </w:r>
          </w:p>
        </w:tc>
      </w:tr>
      <w:tr w:rsidR="007356D6" w14:paraId="617FEF67" w14:textId="77777777">
        <w:trPr>
          <w:trHeight w:val="420"/>
        </w:trPr>
        <w:tc>
          <w:tcPr>
            <w:tcW w:w="2391" w:type="dxa"/>
            <w:shd w:val="clear" w:color="auto" w:fill="auto"/>
            <w:tcMar>
              <w:top w:w="100" w:type="dxa"/>
              <w:left w:w="100" w:type="dxa"/>
              <w:bottom w:w="100" w:type="dxa"/>
              <w:right w:w="100" w:type="dxa"/>
            </w:tcMar>
          </w:tcPr>
          <w:p w14:paraId="66E14D73"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749" w:type="dxa"/>
            <w:shd w:val="clear" w:color="auto" w:fill="auto"/>
            <w:tcMar>
              <w:top w:w="100" w:type="dxa"/>
              <w:left w:w="100" w:type="dxa"/>
              <w:bottom w:w="100" w:type="dxa"/>
              <w:right w:w="100" w:type="dxa"/>
            </w:tcMar>
          </w:tcPr>
          <w:p w14:paraId="6C6511E9" w14:textId="77777777" w:rsidR="007356D6" w:rsidRDefault="00D7602D">
            <w:pPr>
              <w:widowControl w:val="0"/>
              <w:numPr>
                <w:ilvl w:val="0"/>
                <w:numId w:val="6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7C6D0F60" w14:textId="77777777" w:rsidR="007356D6" w:rsidRDefault="00D7602D">
            <w:pPr>
              <w:widowControl w:val="0"/>
              <w:numPr>
                <w:ilvl w:val="1"/>
                <w:numId w:val="6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SMS4DC assists governments of developing countries in performing their spectrum management responsibilities more effectively. The software has continuously been updated and published reflecting the decision of the World Radiocommunication Conference (WRC)</w:t>
            </w:r>
          </w:p>
          <w:p w14:paraId="7EF3E044" w14:textId="77777777" w:rsidR="007356D6" w:rsidRDefault="00D7602D">
            <w:pPr>
              <w:widowControl w:val="0"/>
              <w:numPr>
                <w:ilvl w:val="1"/>
                <w:numId w:val="6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Available </w:t>
            </w:r>
            <w:hyperlink r:id="rId58">
              <w:r>
                <w:rPr>
                  <w:rFonts w:ascii="Times New Roman" w:eastAsia="Times New Roman" w:hAnsi="Times New Roman" w:cs="Times New Roman"/>
                  <w:color w:val="1155CC"/>
                  <w:sz w:val="20"/>
                  <w:szCs w:val="20"/>
                  <w:u w:val="single"/>
                </w:rPr>
                <w:t>general interface tool</w:t>
              </w:r>
            </w:hyperlink>
            <w:r>
              <w:rPr>
                <w:rFonts w:ascii="Times New Roman" w:eastAsia="Times New Roman" w:hAnsi="Times New Roman" w:cs="Times New Roman"/>
                <w:sz w:val="20"/>
                <w:szCs w:val="20"/>
              </w:rPr>
              <w:t xml:space="preserve"> to implement network planning for optimization of spectrum monitoring networks</w:t>
            </w:r>
          </w:p>
          <w:p w14:paraId="6CEF7D6C" w14:textId="77777777" w:rsidR="007356D6" w:rsidRDefault="00D7602D">
            <w:pPr>
              <w:widowControl w:val="0"/>
              <w:numPr>
                <w:ilvl w:val="1"/>
                <w:numId w:val="6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Regional and national spectrum training workshops for developing countries in co</w:t>
            </w:r>
            <w:r>
              <w:rPr>
                <w:rFonts w:ascii="Times New Roman" w:eastAsia="Times New Roman" w:hAnsi="Times New Roman" w:cs="Times New Roman"/>
                <w:sz w:val="20"/>
                <w:szCs w:val="20"/>
              </w:rPr>
              <w:t>llaboration with several projects such as PRIDA, with advice and country-level recommendations</w:t>
            </w:r>
          </w:p>
          <w:p w14:paraId="3AAB87A7" w14:textId="77777777" w:rsidR="007356D6" w:rsidRDefault="00D7602D">
            <w:pPr>
              <w:widowControl w:val="0"/>
              <w:numPr>
                <w:ilvl w:val="1"/>
                <w:numId w:val="63"/>
              </w:numPr>
              <w:spacing w:line="240" w:lineRule="auto"/>
              <w:jc w:val="both"/>
              <w:rPr>
                <w:rFonts w:ascii="Times New Roman" w:eastAsia="Times New Roman" w:hAnsi="Times New Roman" w:cs="Times New Roman"/>
                <w:sz w:val="20"/>
                <w:szCs w:val="20"/>
              </w:rPr>
            </w:pPr>
            <w:hyperlink r:id="rId59">
              <w:r>
                <w:rPr>
                  <w:rFonts w:ascii="Times New Roman" w:eastAsia="Times New Roman" w:hAnsi="Times New Roman" w:cs="Times New Roman"/>
                  <w:color w:val="1155CC"/>
                  <w:sz w:val="20"/>
                  <w:szCs w:val="20"/>
                  <w:u w:val="single"/>
                </w:rPr>
                <w:t>Self-paced spectrum management training</w:t>
              </w:r>
            </w:hyperlink>
            <w:r>
              <w:rPr>
                <w:rFonts w:ascii="Times New Roman" w:eastAsia="Times New Roman" w:hAnsi="Times New Roman" w:cs="Times New Roman"/>
                <w:sz w:val="20"/>
                <w:szCs w:val="20"/>
              </w:rPr>
              <w:t xml:space="preserve"> course via the ITU acade</w:t>
            </w:r>
            <w:r>
              <w:rPr>
                <w:rFonts w:ascii="Times New Roman" w:eastAsia="Times New Roman" w:hAnsi="Times New Roman" w:cs="Times New Roman"/>
                <w:sz w:val="20"/>
                <w:szCs w:val="20"/>
              </w:rPr>
              <w:t>my platform.</w:t>
            </w:r>
          </w:p>
        </w:tc>
      </w:tr>
      <w:tr w:rsidR="007356D6" w14:paraId="7A6EF241" w14:textId="77777777">
        <w:trPr>
          <w:trHeight w:val="420"/>
        </w:trPr>
        <w:tc>
          <w:tcPr>
            <w:tcW w:w="1014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410252D" w14:textId="77777777" w:rsidR="007356D6" w:rsidRDefault="00D7602D">
            <w:pPr>
              <w:spacing w:line="240" w:lineRule="auto"/>
              <w:jc w:val="center"/>
              <w:rPr>
                <w:b/>
              </w:rPr>
            </w:pPr>
            <w:r>
              <w:rPr>
                <w:b/>
              </w:rPr>
              <w:t>2023 Follow-up</w:t>
            </w:r>
          </w:p>
        </w:tc>
      </w:tr>
      <w:tr w:rsidR="007356D6" w14:paraId="5ADE0B7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D50AFB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70A104" w14:textId="77777777" w:rsidR="007356D6" w:rsidRDefault="00D7602D">
            <w:pPr>
              <w:numPr>
                <w:ilvl w:val="0"/>
                <w:numId w:val="2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1BD11274"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36BB02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507CD1"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0EC6D74"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EBDAC4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Do 2022/2023 solutions still work to tackle the </w:t>
            </w:r>
            <w:r>
              <w:rPr>
                <w:rFonts w:ascii="Times New Roman" w:eastAsia="Times New Roman" w:hAnsi="Times New Roman" w:cs="Times New Roman"/>
                <w:b/>
                <w:sz w:val="20"/>
                <w:szCs w:val="20"/>
              </w:rPr>
              <w:lastRenderedPageBreak/>
              <w:t>problem? New solutions needed to be developed?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870C38"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B06ED7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92FBBF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4A5E0E"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73B2AB4"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3D0D8C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192F5F"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0B2EFE03"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3E1F10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E8E892"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D6AB4D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4D36BD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DC09A4"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061562F"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1A78067"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F5DE62"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3133F0DD" w14:textId="77777777" w:rsidR="007356D6" w:rsidRDefault="00D7602D">
      <w:pPr>
        <w:spacing w:before="240" w:after="240" w:line="240" w:lineRule="auto"/>
        <w:jc w:val="both"/>
        <w:rPr>
          <w:rFonts w:ascii="Times New Roman" w:eastAsia="Times New Roman" w:hAnsi="Times New Roman" w:cs="Times New Roman"/>
        </w:rPr>
      </w:pPr>
      <w:r>
        <w:br w:type="page"/>
      </w:r>
    </w:p>
    <w:p w14:paraId="30AC1312" w14:textId="77777777" w:rsidR="007356D6" w:rsidRDefault="00D7602D">
      <w:pPr>
        <w:pStyle w:val="Heading3"/>
        <w:numPr>
          <w:ilvl w:val="1"/>
          <w:numId w:val="56"/>
        </w:numPr>
        <w:jc w:val="both"/>
      </w:pPr>
      <w:bookmarkStart w:id="47" w:name="_9dwhugsft5im" w:colFirst="0" w:colLast="0"/>
      <w:bookmarkEnd w:id="47"/>
      <w:r>
        <w:rPr>
          <w:rFonts w:ascii="Times New Roman" w:eastAsia="Times New Roman" w:hAnsi="Times New Roman" w:cs="Times New Roman"/>
          <w:color w:val="38761D"/>
        </w:rPr>
        <w:lastRenderedPageBreak/>
        <w:t>WAN-INFRA</w:t>
      </w:r>
    </w:p>
    <w:p w14:paraId="54647806" w14:textId="77777777" w:rsidR="007356D6" w:rsidRDefault="007356D6">
      <w:pPr>
        <w:spacing w:before="240" w:after="240" w:line="240" w:lineRule="auto"/>
        <w:jc w:val="both"/>
        <w:rPr>
          <w:rFonts w:ascii="Times New Roman" w:eastAsia="Times New Roman" w:hAnsi="Times New Roman" w:cs="Times New Roman"/>
        </w:rPr>
      </w:pPr>
    </w:p>
    <w:tbl>
      <w:tblPr>
        <w:tblStyle w:val="aff6"/>
        <w:tblW w:w="10035" w:type="dxa"/>
        <w:tblBorders>
          <w:top w:val="nil"/>
          <w:left w:val="nil"/>
          <w:bottom w:val="nil"/>
          <w:right w:val="nil"/>
          <w:insideH w:val="nil"/>
          <w:insideV w:val="nil"/>
        </w:tblBorders>
        <w:tblLayout w:type="fixed"/>
        <w:tblLook w:val="0600" w:firstRow="0" w:lastRow="0" w:firstColumn="0" w:lastColumn="0" w:noHBand="1" w:noVBand="1"/>
      </w:tblPr>
      <w:tblGrid>
        <w:gridCol w:w="1965"/>
        <w:gridCol w:w="8070"/>
      </w:tblGrid>
      <w:tr w:rsidR="007356D6" w14:paraId="67B5B110" w14:textId="77777777">
        <w:trPr>
          <w:trHeight w:val="525"/>
        </w:trPr>
        <w:tc>
          <w:tcPr>
            <w:tcW w:w="196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D5D59E5" w14:textId="77777777" w:rsidR="007356D6" w:rsidRDefault="00D7602D">
            <w:pPr>
              <w:spacing w:line="240" w:lineRule="auto"/>
              <w:rPr>
                <w:rFonts w:ascii="Times New Roman" w:eastAsia="Times New Roman" w:hAnsi="Times New Roman" w:cs="Times New Roman"/>
                <w:b/>
              </w:rPr>
            </w:pPr>
            <w:r>
              <w:rPr>
                <w:rFonts w:ascii="Times New Roman" w:eastAsia="Times New Roman" w:hAnsi="Times New Roman" w:cs="Times New Roman"/>
                <w:b/>
              </w:rPr>
              <w:t>Case 4:</w:t>
            </w:r>
          </w:p>
        </w:tc>
        <w:tc>
          <w:tcPr>
            <w:tcW w:w="8070"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714E6641" w14:textId="77777777" w:rsidR="007356D6" w:rsidRDefault="00D7602D">
            <w:pPr>
              <w:spacing w:line="240" w:lineRule="auto"/>
              <w:jc w:val="center"/>
              <w:rPr>
                <w:rFonts w:ascii="Times New Roman" w:eastAsia="Times New Roman" w:hAnsi="Times New Roman" w:cs="Times New Roman"/>
                <w:color w:val="1155CC"/>
                <w:u w:val="single"/>
              </w:rPr>
            </w:pPr>
            <w:r>
              <w:rPr>
                <w:rFonts w:ascii="Times New Roman" w:eastAsia="Times New Roman" w:hAnsi="Times New Roman" w:cs="Times New Roman"/>
                <w:b/>
              </w:rPr>
              <w:t>WAN-</w:t>
            </w:r>
            <w:r>
              <w:rPr>
                <w:rFonts w:ascii="Times New Roman" w:eastAsia="Times New Roman" w:hAnsi="Times New Roman" w:cs="Times New Roman"/>
                <w:b/>
                <w:color w:val="FF0000"/>
                <w:sz w:val="20"/>
                <w:szCs w:val="20"/>
              </w:rPr>
              <w:t>IFRA</w:t>
            </w:r>
            <w:r>
              <w:rPr>
                <w:rFonts w:ascii="Times New Roman" w:eastAsia="Times New Roman" w:hAnsi="Times New Roman" w:cs="Times New Roman"/>
                <w:b/>
              </w:rPr>
              <w:t>: Internews’ Ads for News Initiative (AFN)</w:t>
            </w:r>
          </w:p>
        </w:tc>
      </w:tr>
      <w:tr w:rsidR="007356D6" w14:paraId="70597A13" w14:textId="77777777">
        <w:trPr>
          <w:trHeight w:val="495"/>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56B0EB"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8070" w:type="dxa"/>
            <w:tcBorders>
              <w:top w:val="nil"/>
              <w:left w:val="nil"/>
              <w:bottom w:val="single" w:sz="8" w:space="0" w:color="000000"/>
              <w:right w:val="single" w:sz="8" w:space="0" w:color="000000"/>
            </w:tcBorders>
            <w:tcMar>
              <w:top w:w="100" w:type="dxa"/>
              <w:left w:w="100" w:type="dxa"/>
              <w:bottom w:w="100" w:type="dxa"/>
              <w:right w:w="100" w:type="dxa"/>
            </w:tcMar>
          </w:tcPr>
          <w:p w14:paraId="58CDF5BF"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Global, with a focus on APAC, EMEA, LATAM</w:t>
            </w:r>
          </w:p>
        </w:tc>
      </w:tr>
      <w:tr w:rsidR="007356D6" w14:paraId="19D7979A" w14:textId="77777777">
        <w:trPr>
          <w:trHeight w:val="990"/>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AD1500"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8070" w:type="dxa"/>
            <w:tcBorders>
              <w:top w:val="nil"/>
              <w:left w:val="nil"/>
              <w:bottom w:val="single" w:sz="8" w:space="0" w:color="000000"/>
              <w:right w:val="single" w:sz="8" w:space="0" w:color="000000"/>
            </w:tcBorders>
            <w:tcMar>
              <w:top w:w="100" w:type="dxa"/>
              <w:left w:w="100" w:type="dxa"/>
              <w:bottom w:w="100" w:type="dxa"/>
              <w:right w:w="100" w:type="dxa"/>
            </w:tcMar>
          </w:tcPr>
          <w:p w14:paraId="120B82A2" w14:textId="77777777" w:rsidR="007356D6" w:rsidRDefault="00D7602D">
            <w:pPr>
              <w:numPr>
                <w:ilvl w:val="0"/>
                <w:numId w:val="4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Internews, USAID, private/other donors</w:t>
            </w:r>
          </w:p>
          <w:p w14:paraId="5E9F4E53" w14:textId="77777777" w:rsidR="007356D6" w:rsidRDefault="00D7602D">
            <w:pPr>
              <w:numPr>
                <w:ilvl w:val="1"/>
                <w:numId w:val="4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Focus point: Chris Hajecki, Director, Ads for News (Internews)</w:t>
            </w:r>
          </w:p>
          <w:p w14:paraId="208CBF50" w14:textId="77777777" w:rsidR="007356D6" w:rsidRDefault="00D7602D">
            <w:pPr>
              <w:numPr>
                <w:ilvl w:val="0"/>
                <w:numId w:val="4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Founded in 2018 / Rebranded in 2021</w:t>
            </w:r>
          </w:p>
          <w:p w14:paraId="52942EE3" w14:textId="77777777" w:rsidR="007356D6" w:rsidRDefault="00D7602D">
            <w:pPr>
              <w:numPr>
                <w:ilvl w:val="0"/>
                <w:numId w:val="4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Budgets of approximately UDS 250.000,00 yearly</w:t>
            </w:r>
          </w:p>
        </w:tc>
      </w:tr>
      <w:tr w:rsidR="007356D6" w14:paraId="39C33ADD" w14:textId="77777777">
        <w:trPr>
          <w:trHeight w:val="1140"/>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DFC050"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8070" w:type="dxa"/>
            <w:tcBorders>
              <w:top w:val="nil"/>
              <w:left w:val="nil"/>
              <w:bottom w:val="single" w:sz="8" w:space="0" w:color="000000"/>
              <w:right w:val="single" w:sz="8" w:space="0" w:color="000000"/>
            </w:tcBorders>
            <w:tcMar>
              <w:top w:w="100" w:type="dxa"/>
              <w:left w:w="100" w:type="dxa"/>
              <w:bottom w:w="100" w:type="dxa"/>
              <w:right w:w="100" w:type="dxa"/>
            </w:tcMar>
          </w:tcPr>
          <w:p w14:paraId="68E1C74E" w14:textId="77777777" w:rsidR="007356D6" w:rsidRDefault="00D7602D">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Internews</w:t>
            </w:r>
          </w:p>
          <w:p w14:paraId="38A7DA1F" w14:textId="77777777" w:rsidR="007356D6" w:rsidRDefault="00D7602D">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World Economic Forum</w:t>
            </w:r>
          </w:p>
          <w:p w14:paraId="1A67A87D" w14:textId="77777777" w:rsidR="007356D6" w:rsidRDefault="00D7602D">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World Association of News Publishers</w:t>
            </w:r>
          </w:p>
          <w:p w14:paraId="15B772FE" w14:textId="77777777" w:rsidR="007356D6" w:rsidRDefault="00D7602D">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GroupM</w:t>
            </w:r>
          </w:p>
        </w:tc>
      </w:tr>
      <w:tr w:rsidR="007356D6" w14:paraId="70082205" w14:textId="77777777">
        <w:trPr>
          <w:trHeight w:val="2745"/>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B5F9CB"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8070" w:type="dxa"/>
            <w:tcBorders>
              <w:top w:val="nil"/>
              <w:left w:val="nil"/>
              <w:bottom w:val="single" w:sz="8" w:space="0" w:color="000000"/>
              <w:right w:val="single" w:sz="8" w:space="0" w:color="000000"/>
            </w:tcBorders>
            <w:tcMar>
              <w:top w:w="100" w:type="dxa"/>
              <w:left w:w="100" w:type="dxa"/>
              <w:bottom w:w="100" w:type="dxa"/>
              <w:right w:w="100" w:type="dxa"/>
            </w:tcMar>
          </w:tcPr>
          <w:p w14:paraId="0D3C9B7E"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Local news is being cut out of digital ad spending, forcing many local news outlets to close and preventing others from starting up. In turn, local communities are losing access to culturally relevant information and voices that hold those in power to acco</w:t>
            </w:r>
            <w:r>
              <w:rPr>
                <w:rFonts w:ascii="Times New Roman" w:eastAsia="Times New Roman" w:hAnsi="Times New Roman" w:cs="Times New Roman"/>
                <w:sz w:val="20"/>
                <w:szCs w:val="20"/>
              </w:rPr>
              <w:t>unt. In many places around the globe, people now live in news deserts. These are defined as communities without a local daily news source. In freedom-restricted and ethnically diverse countries, the lack of trusted local news can be especially harmful to p</w:t>
            </w:r>
            <w:r>
              <w:rPr>
                <w:rFonts w:ascii="Times New Roman" w:eastAsia="Times New Roman" w:hAnsi="Times New Roman" w:cs="Times New Roman"/>
                <w:sz w:val="20"/>
                <w:szCs w:val="20"/>
              </w:rPr>
              <w:t xml:space="preserve">eople, removing the information they need to hold to account those in power and make informed decisions about their lives.  </w:t>
            </w:r>
          </w:p>
          <w:p w14:paraId="6925F3D5"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Additionally, brands are missing the performance benefits and reach of trusted local news environments. They are also missing diver</w:t>
            </w:r>
            <w:r>
              <w:rPr>
                <w:rFonts w:ascii="Times New Roman" w:eastAsia="Times New Roman" w:hAnsi="Times New Roman" w:cs="Times New Roman"/>
                <w:sz w:val="20"/>
                <w:szCs w:val="20"/>
              </w:rPr>
              <w:t xml:space="preserve">se consumer segments that the inclusion of local news audiences can provide. These recent realisations within the ad industry are key to AFN’s growth in 2022 and beyond. </w:t>
            </w:r>
          </w:p>
        </w:tc>
      </w:tr>
      <w:tr w:rsidR="007356D6" w14:paraId="41CB4392" w14:textId="77777777">
        <w:trPr>
          <w:trHeight w:val="1080"/>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0E0C63"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8070" w:type="dxa"/>
            <w:tcBorders>
              <w:top w:val="nil"/>
              <w:left w:val="nil"/>
              <w:bottom w:val="single" w:sz="8" w:space="0" w:color="000000"/>
              <w:right w:val="single" w:sz="8" w:space="0" w:color="000000"/>
            </w:tcBorders>
            <w:tcMar>
              <w:top w:w="100" w:type="dxa"/>
              <w:left w:w="100" w:type="dxa"/>
              <w:bottom w:w="100" w:type="dxa"/>
              <w:right w:w="100" w:type="dxa"/>
            </w:tcMar>
          </w:tcPr>
          <w:p w14:paraId="4CFDDB1A"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Ads for News vets news websites, by country, according to journalism and advertising industry standards (including the GARM Brand Safety Standards). Then, AFN delivers trusted local news inclusion lists to global and national programmatic advertisers.</w:t>
            </w:r>
          </w:p>
        </w:tc>
      </w:tr>
      <w:tr w:rsidR="007356D6" w14:paraId="19980FB9" w14:textId="77777777">
        <w:trPr>
          <w:trHeight w:val="3360"/>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EC21B0"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8070" w:type="dxa"/>
            <w:tcBorders>
              <w:top w:val="nil"/>
              <w:left w:val="nil"/>
              <w:bottom w:val="single" w:sz="8" w:space="0" w:color="000000"/>
              <w:right w:val="single" w:sz="8" w:space="0" w:color="000000"/>
            </w:tcBorders>
            <w:tcMar>
              <w:top w:w="100" w:type="dxa"/>
              <w:left w:w="100" w:type="dxa"/>
              <w:bottom w:w="100" w:type="dxa"/>
              <w:right w:w="100" w:type="dxa"/>
            </w:tcMar>
          </w:tcPr>
          <w:p w14:paraId="56D53B1F"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Results: demand for programmatic ad inventory on trusted local news websites is boosted, resulting in increased programmatic ad revenue for publishers. </w:t>
            </w:r>
          </w:p>
          <w:p w14:paraId="4D49FA77" w14:textId="77777777" w:rsidR="007356D6" w:rsidRDefault="007356D6">
            <w:pPr>
              <w:spacing w:line="240" w:lineRule="auto"/>
              <w:jc w:val="both"/>
              <w:rPr>
                <w:rFonts w:ascii="Times New Roman" w:eastAsia="Times New Roman" w:hAnsi="Times New Roman" w:cs="Times New Roman"/>
                <w:sz w:val="20"/>
                <w:szCs w:val="20"/>
              </w:rPr>
            </w:pPr>
          </w:p>
          <w:p w14:paraId="2A1A77C8"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5471F13F" w14:textId="77777777" w:rsidR="007356D6" w:rsidRDefault="00D7602D">
            <w:pPr>
              <w:numPr>
                <w:ilvl w:val="0"/>
                <w:numId w:val="3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Improves access to qua</w:t>
            </w:r>
            <w:r>
              <w:rPr>
                <w:rFonts w:ascii="Times New Roman" w:eastAsia="Times New Roman" w:hAnsi="Times New Roman" w:cs="Times New Roman"/>
                <w:sz w:val="20"/>
                <w:szCs w:val="20"/>
              </w:rPr>
              <w:t xml:space="preserve">lity news and information in countries indexed </w:t>
            </w:r>
          </w:p>
          <w:p w14:paraId="3240E391" w14:textId="77777777" w:rsidR="007356D6" w:rsidRDefault="00D7602D">
            <w:pPr>
              <w:numPr>
                <w:ilvl w:val="0"/>
                <w:numId w:val="3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Helps local journalism survive and thrive </w:t>
            </w:r>
          </w:p>
          <w:p w14:paraId="7E66F7CE" w14:textId="77777777" w:rsidR="007356D6" w:rsidRDefault="00D7602D">
            <w:pPr>
              <w:numPr>
                <w:ilvl w:val="0"/>
                <w:numId w:val="3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Addresses disinformation and curbs the spread of fake news and hate speech by helping defund websites that publish these types of content</w:t>
            </w:r>
          </w:p>
          <w:p w14:paraId="4F3D9AA3" w14:textId="77777777" w:rsidR="007356D6" w:rsidRDefault="00D7602D">
            <w:pPr>
              <w:numPr>
                <w:ilvl w:val="0"/>
                <w:numId w:val="3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Helps news outlets in diver</w:t>
            </w:r>
            <w:r>
              <w:rPr>
                <w:rFonts w:ascii="Times New Roman" w:eastAsia="Times New Roman" w:hAnsi="Times New Roman" w:cs="Times New Roman"/>
                <w:sz w:val="20"/>
                <w:szCs w:val="20"/>
              </w:rPr>
              <w:t>se communities produce culturally relevant information</w:t>
            </w:r>
          </w:p>
          <w:p w14:paraId="09624259" w14:textId="77777777" w:rsidR="007356D6" w:rsidRDefault="00D7602D">
            <w:pPr>
              <w:numPr>
                <w:ilvl w:val="0"/>
                <w:numId w:val="3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Sector collaboration: AFN has contributed with over 8,000 local news URLs in 30 countries for GroupM’s Global Local News Marketplace, following its </w:t>
            </w:r>
            <w:hyperlink r:id="rId60">
              <w:r>
                <w:rPr>
                  <w:rFonts w:ascii="Times New Roman" w:eastAsia="Times New Roman" w:hAnsi="Times New Roman" w:cs="Times New Roman"/>
                  <w:color w:val="1C4587"/>
                  <w:sz w:val="20"/>
                  <w:szCs w:val="20"/>
                  <w:u w:val="single"/>
                </w:rPr>
                <w:t>Responsible Investment Framework</w:t>
              </w:r>
            </w:hyperlink>
            <w:r>
              <w:rPr>
                <w:rFonts w:ascii="Times New Roman" w:eastAsia="Times New Roman" w:hAnsi="Times New Roman" w:cs="Times New Roman"/>
                <w:sz w:val="20"/>
                <w:szCs w:val="20"/>
              </w:rPr>
              <w:t>. The framework aims to rally global brand clients and their ad spend approaches around brand safety, data ethics, diversity, equity, inclusion (D</w:t>
            </w:r>
            <w:r>
              <w:rPr>
                <w:rFonts w:ascii="Times New Roman" w:eastAsia="Times New Roman" w:hAnsi="Times New Roman" w:cs="Times New Roman"/>
                <w:sz w:val="20"/>
                <w:szCs w:val="20"/>
              </w:rPr>
              <w:t xml:space="preserve">E&amp;I), responsible journalism, and sustainability.  </w:t>
            </w:r>
          </w:p>
        </w:tc>
      </w:tr>
      <w:tr w:rsidR="007356D6" w14:paraId="092C2205" w14:textId="77777777">
        <w:trPr>
          <w:trHeight w:val="435"/>
        </w:trPr>
        <w:tc>
          <w:tcPr>
            <w:tcW w:w="10035"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99FF94E" w14:textId="77777777" w:rsidR="007356D6" w:rsidRDefault="00D7602D">
            <w:pPr>
              <w:spacing w:line="240" w:lineRule="auto"/>
              <w:jc w:val="center"/>
              <w:rPr>
                <w:b/>
              </w:rPr>
            </w:pPr>
            <w:r>
              <w:rPr>
                <w:b/>
              </w:rPr>
              <w:t>2023 Follow-up</w:t>
            </w:r>
          </w:p>
        </w:tc>
      </w:tr>
      <w:tr w:rsidR="007356D6" w14:paraId="4F190DEA" w14:textId="77777777">
        <w:trPr>
          <w:trHeight w:val="660"/>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D21D6E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Has the problem been solved?</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3D775E" w14:textId="77777777" w:rsidR="007356D6" w:rsidRDefault="00D7602D">
            <w:pPr>
              <w:numPr>
                <w:ilvl w:val="0"/>
                <w:numId w:val="2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561E2BDE" w14:textId="77777777">
        <w:trPr>
          <w:trHeight w:val="1110"/>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F37AFC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5E98F0"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E338F06" w14:textId="77777777">
        <w:trPr>
          <w:trHeight w:val="1350"/>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E85C71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332587"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16BA1C0" w14:textId="77777777">
        <w:trPr>
          <w:trHeight w:val="885"/>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B02B0F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4CFBF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69F04E28" w14:textId="77777777">
        <w:trPr>
          <w:trHeight w:val="390"/>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9292D3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B8C1D2"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37BA5607" w14:textId="77777777">
        <w:trPr>
          <w:trHeight w:val="510"/>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2F34F9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402AE5"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B136E82" w14:textId="77777777">
        <w:trPr>
          <w:trHeight w:val="435"/>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2832549"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3A13B8"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F54BB0B" w14:textId="77777777">
        <w:trPr>
          <w:trHeight w:val="420"/>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3835AF4"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45016F"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309865EB" w14:textId="77777777" w:rsidR="007356D6" w:rsidRDefault="00D7602D">
      <w:pPr>
        <w:spacing w:before="240" w:after="240" w:line="240" w:lineRule="auto"/>
        <w:rPr>
          <w:rFonts w:ascii="Times New Roman" w:eastAsia="Times New Roman" w:hAnsi="Times New Roman" w:cs="Times New Roman"/>
        </w:rPr>
      </w:pPr>
      <w:r>
        <w:br w:type="page"/>
      </w:r>
    </w:p>
    <w:p w14:paraId="618AC8CD" w14:textId="77777777" w:rsidR="007356D6" w:rsidRDefault="00D7602D">
      <w:pPr>
        <w:pStyle w:val="Heading3"/>
        <w:numPr>
          <w:ilvl w:val="1"/>
          <w:numId w:val="56"/>
        </w:numPr>
        <w:jc w:val="both"/>
      </w:pPr>
      <w:bookmarkStart w:id="48" w:name="_vxs44dyqs7l5" w:colFirst="0" w:colLast="0"/>
      <w:bookmarkEnd w:id="48"/>
      <w:r>
        <w:rPr>
          <w:rFonts w:ascii="Times New Roman" w:eastAsia="Times New Roman" w:hAnsi="Times New Roman" w:cs="Times New Roman"/>
          <w:color w:val="38761D"/>
        </w:rPr>
        <w:lastRenderedPageBreak/>
        <w:t>WIPO</w:t>
      </w:r>
    </w:p>
    <w:p w14:paraId="244657E9" w14:textId="77777777" w:rsidR="007356D6" w:rsidRDefault="007356D6">
      <w:pPr>
        <w:spacing w:line="240" w:lineRule="auto"/>
        <w:rPr>
          <w:rFonts w:ascii="Times New Roman" w:eastAsia="Times New Roman" w:hAnsi="Times New Roman" w:cs="Times New Roman"/>
        </w:rPr>
      </w:pPr>
    </w:p>
    <w:tbl>
      <w:tblPr>
        <w:tblStyle w:val="aff7"/>
        <w:tblW w:w="9630" w:type="dxa"/>
        <w:tblBorders>
          <w:top w:val="nil"/>
          <w:left w:val="nil"/>
          <w:bottom w:val="nil"/>
          <w:right w:val="nil"/>
          <w:insideH w:val="nil"/>
          <w:insideV w:val="nil"/>
        </w:tblBorders>
        <w:tblLayout w:type="fixed"/>
        <w:tblLook w:val="0600" w:firstRow="0" w:lastRow="0" w:firstColumn="0" w:lastColumn="0" w:noHBand="1" w:noVBand="1"/>
      </w:tblPr>
      <w:tblGrid>
        <w:gridCol w:w="2053"/>
        <w:gridCol w:w="7577"/>
      </w:tblGrid>
      <w:tr w:rsidR="007356D6" w14:paraId="4FCA9F41" w14:textId="77777777">
        <w:trPr>
          <w:trHeight w:val="765"/>
        </w:trPr>
        <w:tc>
          <w:tcPr>
            <w:tcW w:w="205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9A74DA7" w14:textId="77777777" w:rsidR="007356D6" w:rsidRDefault="00D7602D">
            <w:pPr>
              <w:spacing w:line="240" w:lineRule="auto"/>
              <w:rPr>
                <w:rFonts w:ascii="Times New Roman" w:eastAsia="Times New Roman" w:hAnsi="Times New Roman" w:cs="Times New Roman"/>
                <w:b/>
              </w:rPr>
            </w:pPr>
            <w:r>
              <w:rPr>
                <w:rFonts w:ascii="Times New Roman" w:eastAsia="Times New Roman" w:hAnsi="Times New Roman" w:cs="Times New Roman"/>
                <w:b/>
              </w:rPr>
              <w:t>Case 5:</w:t>
            </w:r>
          </w:p>
        </w:tc>
        <w:tc>
          <w:tcPr>
            <w:tcW w:w="7576"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625AC87F"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WIPO: Project on Enhancing the Use of Intellectual Property for Mobile Applications in the Software Sector</w:t>
            </w:r>
          </w:p>
        </w:tc>
      </w:tr>
      <w:tr w:rsidR="007356D6" w14:paraId="3AA43712" w14:textId="77777777">
        <w:trPr>
          <w:trHeight w:val="495"/>
        </w:trPr>
        <w:tc>
          <w:tcPr>
            <w:tcW w:w="20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4C68C4"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576" w:type="dxa"/>
            <w:tcBorders>
              <w:top w:val="nil"/>
              <w:left w:val="nil"/>
              <w:bottom w:val="single" w:sz="8" w:space="0" w:color="000000"/>
              <w:right w:val="single" w:sz="8" w:space="0" w:color="000000"/>
            </w:tcBorders>
            <w:tcMar>
              <w:top w:w="100" w:type="dxa"/>
              <w:left w:w="100" w:type="dxa"/>
              <w:bottom w:w="100" w:type="dxa"/>
              <w:right w:w="100" w:type="dxa"/>
            </w:tcMar>
          </w:tcPr>
          <w:p w14:paraId="2D5BED1D" w14:textId="77777777" w:rsidR="007356D6" w:rsidRDefault="00D7602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Kenya, Trinidad &amp; Tobago, Philippines</w:t>
            </w:r>
          </w:p>
        </w:tc>
      </w:tr>
      <w:tr w:rsidR="007356D6" w14:paraId="789CCD86" w14:textId="77777777">
        <w:trPr>
          <w:trHeight w:val="495"/>
        </w:trPr>
        <w:tc>
          <w:tcPr>
            <w:tcW w:w="20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E17698"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576" w:type="dxa"/>
            <w:tcBorders>
              <w:top w:val="nil"/>
              <w:left w:val="nil"/>
              <w:bottom w:val="single" w:sz="8" w:space="0" w:color="000000"/>
              <w:right w:val="single" w:sz="8" w:space="0" w:color="000000"/>
            </w:tcBorders>
            <w:tcMar>
              <w:top w:w="100" w:type="dxa"/>
              <w:left w:w="100" w:type="dxa"/>
              <w:bottom w:w="100" w:type="dxa"/>
              <w:right w:w="100" w:type="dxa"/>
            </w:tcMar>
          </w:tcPr>
          <w:p w14:paraId="0C8F82E2" w14:textId="77777777" w:rsidR="007356D6" w:rsidRDefault="00D7602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WIPO - budget n/a</w:t>
            </w:r>
          </w:p>
        </w:tc>
      </w:tr>
      <w:tr w:rsidR="007356D6" w14:paraId="7714EE1E" w14:textId="77777777">
        <w:trPr>
          <w:trHeight w:val="1082"/>
        </w:trPr>
        <w:tc>
          <w:tcPr>
            <w:tcW w:w="20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857B13"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576" w:type="dxa"/>
            <w:tcBorders>
              <w:top w:val="nil"/>
              <w:left w:val="nil"/>
              <w:bottom w:val="single" w:sz="8" w:space="0" w:color="000000"/>
              <w:right w:val="single" w:sz="8" w:space="0" w:color="000000"/>
            </w:tcBorders>
            <w:tcMar>
              <w:top w:w="100" w:type="dxa"/>
              <w:left w:w="100" w:type="dxa"/>
              <w:bottom w:w="100" w:type="dxa"/>
              <w:right w:w="100" w:type="dxa"/>
            </w:tcMar>
          </w:tcPr>
          <w:p w14:paraId="45CF693C" w14:textId="77777777" w:rsidR="007356D6" w:rsidRDefault="00D7602D">
            <w:pPr>
              <w:numPr>
                <w:ilvl w:val="0"/>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Senior Counsellor and the Associate Program Officer of the Development Agenda Coordination Division (DACD) at WIPO in cooperation with the national governments of Kenya, Trinidad &amp; Tobago, and Philippines.</w:t>
            </w:r>
          </w:p>
          <w:p w14:paraId="4104FAC3" w14:textId="77777777" w:rsidR="007356D6" w:rsidRDefault="00D7602D">
            <w:pPr>
              <w:numPr>
                <w:ilvl w:val="1"/>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Foca</w:t>
            </w:r>
            <w:r>
              <w:rPr>
                <w:rFonts w:ascii="Times New Roman" w:eastAsia="Times New Roman" w:hAnsi="Times New Roman" w:cs="Times New Roman"/>
                <w:sz w:val="20"/>
                <w:szCs w:val="20"/>
              </w:rPr>
              <w:t>l point : Paolo Lanteri</w:t>
            </w:r>
          </w:p>
        </w:tc>
      </w:tr>
      <w:tr w:rsidR="007356D6" w14:paraId="4051E31E" w14:textId="77777777">
        <w:trPr>
          <w:trHeight w:val="1167"/>
        </w:trPr>
        <w:tc>
          <w:tcPr>
            <w:tcW w:w="20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FFE896"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576" w:type="dxa"/>
            <w:tcBorders>
              <w:top w:val="nil"/>
              <w:left w:val="nil"/>
              <w:bottom w:val="single" w:sz="8" w:space="0" w:color="000000"/>
              <w:right w:val="single" w:sz="8" w:space="0" w:color="000000"/>
            </w:tcBorders>
            <w:tcMar>
              <w:top w:w="100" w:type="dxa"/>
              <w:left w:w="100" w:type="dxa"/>
              <w:bottom w:w="100" w:type="dxa"/>
              <w:right w:w="100" w:type="dxa"/>
            </w:tcMar>
          </w:tcPr>
          <w:p w14:paraId="0C8AADB8" w14:textId="77777777" w:rsidR="007356D6" w:rsidRDefault="00D7602D">
            <w:pPr>
              <w:numPr>
                <w:ilvl w:val="0"/>
                <w:numId w:val="2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Improve software sector stakeholders’ knowledge and expertise on when and how to use various intellectual property (IP) tools in support of developing and commercialising mobile applications</w:t>
            </w:r>
          </w:p>
          <w:p w14:paraId="3F371C9F" w14:textId="77777777" w:rsidR="007356D6" w:rsidRDefault="00D7602D">
            <w:pPr>
              <w:numPr>
                <w:ilvl w:val="0"/>
                <w:numId w:val="2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 linkages between IP offices, ICT hubs, research institutions and industry within the beneficiary countries and amongst them</w:t>
            </w:r>
          </w:p>
        </w:tc>
      </w:tr>
      <w:tr w:rsidR="007356D6" w14:paraId="7056B1B1" w14:textId="77777777">
        <w:trPr>
          <w:trHeight w:val="2027"/>
        </w:trPr>
        <w:tc>
          <w:tcPr>
            <w:tcW w:w="20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82CA32"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576" w:type="dxa"/>
            <w:tcBorders>
              <w:top w:val="nil"/>
              <w:left w:val="nil"/>
              <w:bottom w:val="single" w:sz="8" w:space="0" w:color="000000"/>
              <w:right w:val="single" w:sz="8" w:space="0" w:color="000000"/>
            </w:tcBorders>
            <w:tcMar>
              <w:top w:w="100" w:type="dxa"/>
              <w:left w:w="100" w:type="dxa"/>
              <w:bottom w:w="100" w:type="dxa"/>
              <w:right w:w="100" w:type="dxa"/>
            </w:tcMar>
          </w:tcPr>
          <w:p w14:paraId="5493A0E7" w14:textId="77777777" w:rsidR="007356D6" w:rsidRDefault="00D7602D">
            <w:pPr>
              <w:numPr>
                <w:ilvl w:val="0"/>
                <w:numId w:val="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Participatory approach to the problem:</w:t>
            </w:r>
          </w:p>
          <w:p w14:paraId="3E90955C" w14:textId="77777777" w:rsidR="007356D6" w:rsidRDefault="00D7602D">
            <w:pPr>
              <w:numPr>
                <w:ilvl w:val="1"/>
                <w:numId w:val="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Pilot and knowledge from Kenya defined the elaboration process in other countries.  </w:t>
            </w:r>
          </w:p>
          <w:p w14:paraId="4BBEC349" w14:textId="77777777" w:rsidR="007356D6" w:rsidRDefault="00D7602D">
            <w:pPr>
              <w:numPr>
                <w:ilvl w:val="1"/>
                <w:numId w:val="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design process was executed by in-house experts, member states representatives, relevant communities, and relevant audiences. They participated in several steps by pro</w:t>
            </w:r>
            <w:r>
              <w:rPr>
                <w:rFonts w:ascii="Times New Roman" w:eastAsia="Times New Roman" w:hAnsi="Times New Roman" w:cs="Times New Roman"/>
                <w:sz w:val="20"/>
                <w:szCs w:val="20"/>
              </w:rPr>
              <w:t>viding knowledge and experience, with constructive discussions that helped to refine and further strengthen the project before final approval.</w:t>
            </w:r>
          </w:p>
        </w:tc>
      </w:tr>
      <w:tr w:rsidR="007356D6" w14:paraId="3C74EA7D" w14:textId="77777777">
        <w:trPr>
          <w:trHeight w:val="3480"/>
        </w:trPr>
        <w:tc>
          <w:tcPr>
            <w:tcW w:w="20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EBBBE7"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worked/remaining challenges)</w:t>
            </w:r>
          </w:p>
        </w:tc>
        <w:tc>
          <w:tcPr>
            <w:tcW w:w="7576" w:type="dxa"/>
            <w:tcBorders>
              <w:top w:val="nil"/>
              <w:left w:val="nil"/>
              <w:bottom w:val="single" w:sz="8" w:space="0" w:color="000000"/>
              <w:right w:val="single" w:sz="8" w:space="0" w:color="000000"/>
            </w:tcBorders>
            <w:tcMar>
              <w:top w:w="100" w:type="dxa"/>
              <w:left w:w="100" w:type="dxa"/>
              <w:bottom w:w="100" w:type="dxa"/>
              <w:right w:w="100" w:type="dxa"/>
            </w:tcMar>
          </w:tcPr>
          <w:p w14:paraId="16945647" w14:textId="77777777" w:rsidR="007356D6" w:rsidRDefault="00D7602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53BE8E99" w14:textId="77777777" w:rsidR="007356D6" w:rsidRDefault="00D7602D">
            <w:pPr>
              <w:numPr>
                <w:ilvl w:val="0"/>
                <w:numId w:val="5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Since April 2020, all tools and resource materials can be found </w:t>
            </w:r>
            <w:hyperlink r:id="rId61">
              <w:r>
                <w:rPr>
                  <w:rFonts w:ascii="Times New Roman" w:eastAsia="Times New Roman" w:hAnsi="Times New Roman" w:cs="Times New Roman"/>
                  <w:color w:val="1155CC"/>
                  <w:sz w:val="20"/>
                  <w:szCs w:val="20"/>
                  <w:u w:val="single"/>
                </w:rPr>
                <w:t>online</w:t>
              </w:r>
            </w:hyperlink>
            <w:r>
              <w:rPr>
                <w:rFonts w:ascii="Times New Roman" w:eastAsia="Times New Roman" w:hAnsi="Times New Roman" w:cs="Times New Roman"/>
                <w:sz w:val="20"/>
                <w:szCs w:val="20"/>
              </w:rPr>
              <w:t xml:space="preserve">. By mid-January 2022, the website had had a total of 9,453 visitors and 17,922 downloads, demonstrating </w:t>
            </w:r>
            <w:r>
              <w:rPr>
                <w:rFonts w:ascii="Times New Roman" w:eastAsia="Times New Roman" w:hAnsi="Times New Roman" w:cs="Times New Roman"/>
                <w:sz w:val="20"/>
                <w:szCs w:val="20"/>
              </w:rPr>
              <w:t>the success of the tools, learning resources, research, and infographics.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It had an average of 47 downloads per month during its first 8 months of operation, which increased exponentially in December 2020, and reached its peak one year after its launch, wi</w:t>
            </w:r>
            <w:r>
              <w:rPr>
                <w:rFonts w:ascii="Times New Roman" w:eastAsia="Times New Roman" w:hAnsi="Times New Roman" w:cs="Times New Roman"/>
                <w:sz w:val="20"/>
                <w:szCs w:val="20"/>
              </w:rPr>
              <w:t>th 642 downloads between April 18 and May 2, 2021.</w:t>
            </w:r>
          </w:p>
          <w:p w14:paraId="5071753F" w14:textId="77777777" w:rsidR="007356D6" w:rsidRDefault="00D7602D">
            <w:pPr>
              <w:numPr>
                <w:ilvl w:val="0"/>
                <w:numId w:val="5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few numbers on the project tools:</w:t>
            </w:r>
          </w:p>
          <w:p w14:paraId="2BABE0C8" w14:textId="77777777" w:rsidR="007356D6" w:rsidRDefault="00D7602D">
            <w:pPr>
              <w:numPr>
                <w:ilvl w:val="1"/>
                <w:numId w:val="5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Pr>
                <w:rFonts w:ascii="Times New Roman" w:eastAsia="Times New Roman" w:hAnsi="Times New Roman" w:cs="Times New Roman"/>
                <w:i/>
                <w:sz w:val="20"/>
                <w:szCs w:val="20"/>
              </w:rPr>
              <w:t xml:space="preserve">Handbook on Key Contracts for Mobile Applications – a Developer’s Perspective </w:t>
            </w:r>
            <w:r>
              <w:rPr>
                <w:rFonts w:ascii="Times New Roman" w:eastAsia="Times New Roman" w:hAnsi="Times New Roman" w:cs="Times New Roman"/>
                <w:sz w:val="20"/>
                <w:szCs w:val="20"/>
              </w:rPr>
              <w:t>had the highest number of visitors - 3,381 hits by the end of the project.</w:t>
            </w:r>
          </w:p>
          <w:p w14:paraId="7BDB2BE6" w14:textId="77777777" w:rsidR="007356D6" w:rsidRDefault="00D7602D">
            <w:pPr>
              <w:numPr>
                <w:ilvl w:val="1"/>
                <w:numId w:val="5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The Scoping </w:t>
            </w:r>
            <w:r>
              <w:rPr>
                <w:rFonts w:ascii="Times New Roman" w:eastAsia="Times New Roman" w:hAnsi="Times New Roman" w:cs="Times New Roman"/>
                <w:i/>
                <w:sz w:val="20"/>
                <w:szCs w:val="20"/>
              </w:rPr>
              <w:t>Study</w:t>
            </w:r>
            <w:r>
              <w:rPr>
                <w:rFonts w:ascii="Times New Roman" w:eastAsia="Times New Roman" w:hAnsi="Times New Roman" w:cs="Times New Roman"/>
                <w:sz w:val="20"/>
                <w:szCs w:val="20"/>
              </w:rPr>
              <w:t xml:space="preserve"> was the tool with the most downloads - 4,742 times, followed by the </w:t>
            </w:r>
            <w:r>
              <w:rPr>
                <w:rFonts w:ascii="Times New Roman" w:eastAsia="Times New Roman" w:hAnsi="Times New Roman" w:cs="Times New Roman"/>
                <w:i/>
                <w:sz w:val="20"/>
                <w:szCs w:val="20"/>
              </w:rPr>
              <w:t>WIPO Guide on Alternative Resolution for Mobile Applications Disputes</w:t>
            </w:r>
            <w:r>
              <w:rPr>
                <w:rFonts w:ascii="Times New Roman" w:eastAsia="Times New Roman" w:hAnsi="Times New Roman" w:cs="Times New Roman"/>
                <w:sz w:val="20"/>
                <w:szCs w:val="20"/>
              </w:rPr>
              <w:t xml:space="preserve"> with 1,475 downloads, and the </w:t>
            </w:r>
            <w:r>
              <w:rPr>
                <w:rFonts w:ascii="Times New Roman" w:eastAsia="Times New Roman" w:hAnsi="Times New Roman" w:cs="Times New Roman"/>
                <w:i/>
                <w:sz w:val="20"/>
                <w:szCs w:val="20"/>
              </w:rPr>
              <w:t>IP Toolbox for Mobile Applications Developers</w:t>
            </w:r>
            <w:r>
              <w:rPr>
                <w:rFonts w:ascii="Times New Roman" w:eastAsia="Times New Roman" w:hAnsi="Times New Roman" w:cs="Times New Roman"/>
                <w:sz w:val="20"/>
                <w:szCs w:val="20"/>
              </w:rPr>
              <w:t xml:space="preserve"> with 1,241 downloads. </w:t>
            </w:r>
          </w:p>
          <w:p w14:paraId="22300F31" w14:textId="77777777" w:rsidR="007356D6" w:rsidRDefault="007356D6">
            <w:pPr>
              <w:spacing w:line="240" w:lineRule="auto"/>
              <w:jc w:val="both"/>
              <w:rPr>
                <w:rFonts w:ascii="Times New Roman" w:eastAsia="Times New Roman" w:hAnsi="Times New Roman" w:cs="Times New Roman"/>
                <w:sz w:val="20"/>
                <w:szCs w:val="20"/>
              </w:rPr>
            </w:pPr>
          </w:p>
          <w:p w14:paraId="28C38F5D"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715F9DFA" w14:textId="77777777" w:rsidR="007356D6" w:rsidRDefault="00D7602D">
            <w:pPr>
              <w:numPr>
                <w:ilvl w:val="0"/>
                <w:numId w:val="6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Countless advances have been achieved or promoted by WIPO in the three implementing countries. Some of them are tangible and were included in the logical framework of the project, such as the tools created for developers, entrepreneurs or lawyers; the tool</w:t>
            </w:r>
            <w:r>
              <w:rPr>
                <w:rFonts w:ascii="Times New Roman" w:eastAsia="Times New Roman" w:hAnsi="Times New Roman" w:cs="Times New Roman"/>
                <w:sz w:val="20"/>
                <w:szCs w:val="20"/>
              </w:rPr>
              <w:t>s on IP practical management, financing, commercialisation, and tools to raise awareness and knowledge on IP. Other achievements identified in the evaluation phase are:</w:t>
            </w:r>
          </w:p>
          <w:p w14:paraId="7C3C6CB0" w14:textId="77777777" w:rsidR="007356D6" w:rsidRDefault="00D7602D">
            <w:pPr>
              <w:numPr>
                <w:ilvl w:val="1"/>
                <w:numId w:val="6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Developers have started to think about IP as an option to protect their interests and g</w:t>
            </w:r>
            <w:r>
              <w:rPr>
                <w:rFonts w:ascii="Times New Roman" w:eastAsia="Times New Roman" w:hAnsi="Times New Roman" w:cs="Times New Roman"/>
                <w:sz w:val="20"/>
                <w:szCs w:val="20"/>
              </w:rPr>
              <w:t xml:space="preserve">enerate income streams, whereas at the beginning of the </w:t>
            </w:r>
            <w:r>
              <w:rPr>
                <w:rFonts w:ascii="Times New Roman" w:eastAsia="Times New Roman" w:hAnsi="Times New Roman" w:cs="Times New Roman"/>
                <w:sz w:val="20"/>
                <w:szCs w:val="20"/>
              </w:rPr>
              <w:lastRenderedPageBreak/>
              <w:t>project they were mainly interested in selling their products without making real use of IP.</w:t>
            </w:r>
          </w:p>
          <w:p w14:paraId="3522994B" w14:textId="77777777" w:rsidR="007356D6" w:rsidRDefault="00D7602D">
            <w:pPr>
              <w:numPr>
                <w:ilvl w:val="1"/>
                <w:numId w:val="6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project has broadened the horizons of all the developers, lawyers, entrepreneurs, and researchers who h</w:t>
            </w:r>
            <w:r>
              <w:rPr>
                <w:rFonts w:ascii="Times New Roman" w:eastAsia="Times New Roman" w:hAnsi="Times New Roman" w:cs="Times New Roman"/>
                <w:sz w:val="20"/>
                <w:szCs w:val="20"/>
              </w:rPr>
              <w:t>ave participated in it; a mentoring program allowed them to easily interact with each other and with potential partners.</w:t>
            </w:r>
          </w:p>
          <w:p w14:paraId="0B5FA7BE" w14:textId="77777777" w:rsidR="007356D6" w:rsidRDefault="00D7602D">
            <w:pPr>
              <w:numPr>
                <w:ilvl w:val="0"/>
                <w:numId w:val="6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Interest in organised business representation: a movement has been reported to create app associations in the implementing countries to</w:t>
            </w:r>
            <w:r>
              <w:rPr>
                <w:rFonts w:ascii="Times New Roman" w:eastAsia="Times New Roman" w:hAnsi="Times New Roman" w:cs="Times New Roman"/>
                <w:sz w:val="20"/>
                <w:szCs w:val="20"/>
              </w:rPr>
              <w:t xml:space="preserve"> defend the interests of app developers, help them better advocate for their interests, have a more regulated environment, and better representation in international forums. Specific impacts forthcoming.</w:t>
            </w:r>
          </w:p>
          <w:p w14:paraId="6FB2E12A" w14:textId="77777777" w:rsidR="007356D6" w:rsidRDefault="00D7602D">
            <w:pPr>
              <w:numPr>
                <w:ilvl w:val="0"/>
                <w:numId w:val="6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website reached audiences beyond the original 3 </w:t>
            </w:r>
            <w:r>
              <w:rPr>
                <w:rFonts w:ascii="Times New Roman" w:eastAsia="Times New Roman" w:hAnsi="Times New Roman" w:cs="Times New Roman"/>
                <w:sz w:val="20"/>
                <w:szCs w:val="20"/>
              </w:rPr>
              <w:t xml:space="preserve">implementation countries. There were 1,600 visits from the USA - it is important to note that, technically, these numbers include visitors from the entire Caribbean region, and hence from Trinidad and Tobago. This is followed by India (930,000 visits) and </w:t>
            </w:r>
            <w:r>
              <w:rPr>
                <w:rFonts w:ascii="Times New Roman" w:eastAsia="Times New Roman" w:hAnsi="Times New Roman" w:cs="Times New Roman"/>
                <w:sz w:val="20"/>
                <w:szCs w:val="20"/>
              </w:rPr>
              <w:t>the Philippines (889,000 visits). Visitors from Kenya appear in seventh place with 288,000 accesses.</w:t>
            </w:r>
          </w:p>
        </w:tc>
      </w:tr>
      <w:tr w:rsidR="007356D6" w14:paraId="04FEBB22" w14:textId="77777777">
        <w:trPr>
          <w:trHeight w:val="435"/>
        </w:trPr>
        <w:tc>
          <w:tcPr>
            <w:tcW w:w="9629"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C549C58" w14:textId="77777777" w:rsidR="007356D6" w:rsidRDefault="00D7602D">
            <w:pPr>
              <w:spacing w:line="240" w:lineRule="auto"/>
              <w:jc w:val="center"/>
              <w:rPr>
                <w:b/>
              </w:rPr>
            </w:pPr>
            <w:r>
              <w:rPr>
                <w:b/>
              </w:rPr>
              <w:lastRenderedPageBreak/>
              <w:t>2023 Follow-up</w:t>
            </w:r>
          </w:p>
        </w:tc>
      </w:tr>
      <w:tr w:rsidR="007356D6" w14:paraId="418492D2" w14:textId="77777777">
        <w:trPr>
          <w:trHeight w:val="660"/>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B5DAED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093D62" w14:textId="77777777" w:rsidR="007356D6" w:rsidRDefault="00D7602D">
            <w:pPr>
              <w:numPr>
                <w:ilvl w:val="0"/>
                <w:numId w:val="2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3883CA3E" w14:textId="77777777">
        <w:trPr>
          <w:trHeight w:val="1095"/>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601614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FE86B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F44841A" w14:textId="77777777">
        <w:trPr>
          <w:trHeight w:val="1335"/>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2F26E3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7BD91A"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2247D3C" w14:textId="77777777">
        <w:trPr>
          <w:trHeight w:val="855"/>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28CA22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3486CF"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6E6BC903" w14:textId="77777777">
        <w:trPr>
          <w:trHeight w:val="495"/>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E5059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1464CD"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549B9BC0" w14:textId="77777777">
        <w:trPr>
          <w:trHeight w:val="435"/>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80B6F4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B9B683"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0FCE10A" w14:textId="77777777">
        <w:trPr>
          <w:trHeight w:val="420"/>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0B2FE9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DF0CD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157A8C7" w14:textId="77777777">
        <w:trPr>
          <w:trHeight w:val="420"/>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051E7F1"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Next steps:</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3BE1F0"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3AF2A60C" w14:textId="77777777" w:rsidR="007356D6" w:rsidRDefault="00D7602D">
      <w:pPr>
        <w:spacing w:before="240" w:after="240" w:line="240" w:lineRule="auto"/>
        <w:rPr>
          <w:rFonts w:ascii="Times New Roman" w:eastAsia="Times New Roman" w:hAnsi="Times New Roman" w:cs="Times New Roman"/>
        </w:rPr>
      </w:pPr>
      <w:r>
        <w:br w:type="page"/>
      </w:r>
    </w:p>
    <w:p w14:paraId="09D8E657" w14:textId="77777777" w:rsidR="007356D6" w:rsidRDefault="00D7602D">
      <w:pPr>
        <w:pStyle w:val="Heading3"/>
        <w:numPr>
          <w:ilvl w:val="1"/>
          <w:numId w:val="56"/>
        </w:numPr>
        <w:jc w:val="both"/>
      </w:pPr>
      <w:bookmarkStart w:id="49" w:name="_zh6sfnk1rlss" w:colFirst="0" w:colLast="0"/>
      <w:bookmarkEnd w:id="49"/>
      <w:r>
        <w:rPr>
          <w:rFonts w:ascii="Times New Roman" w:eastAsia="Times New Roman" w:hAnsi="Times New Roman" w:cs="Times New Roman"/>
          <w:color w:val="38761D"/>
        </w:rPr>
        <w:lastRenderedPageBreak/>
        <w:t>ICANN</w:t>
      </w:r>
    </w:p>
    <w:p w14:paraId="6109521F" w14:textId="77777777" w:rsidR="007356D6" w:rsidRDefault="007356D6"/>
    <w:tbl>
      <w:tblPr>
        <w:tblStyle w:val="aff8"/>
        <w:tblW w:w="9630" w:type="dxa"/>
        <w:tblLayout w:type="fixed"/>
        <w:tblLook w:val="0400" w:firstRow="0" w:lastRow="0" w:firstColumn="0" w:lastColumn="0" w:noHBand="0" w:noVBand="1"/>
      </w:tblPr>
      <w:tblGrid>
        <w:gridCol w:w="2083"/>
        <w:gridCol w:w="7547"/>
      </w:tblGrid>
      <w:tr w:rsidR="007356D6" w14:paraId="12588E13" w14:textId="77777777">
        <w:trPr>
          <w:trHeight w:val="420"/>
        </w:trPr>
        <w:tc>
          <w:tcPr>
            <w:tcW w:w="20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DA06A25"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Case 6:</w:t>
            </w:r>
          </w:p>
        </w:tc>
        <w:tc>
          <w:tcPr>
            <w:tcW w:w="7547"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E14E315"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ICANN: Coalition for Digital Africa</w:t>
            </w:r>
          </w:p>
        </w:tc>
      </w:tr>
      <w:tr w:rsidR="007356D6" w14:paraId="2243FBD1" w14:textId="77777777">
        <w:trPr>
          <w:trHeight w:val="420"/>
        </w:trPr>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F2287"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C74A6"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1st Phase: 10 countries; 2nd Phase: 20 countries</w:t>
            </w:r>
          </w:p>
        </w:tc>
      </w:tr>
      <w:tr w:rsidR="007356D6" w14:paraId="63DEF482" w14:textId="77777777">
        <w:trPr>
          <w:trHeight w:val="420"/>
        </w:trPr>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04FFA"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8F57F"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ICANN - budget n/a</w:t>
            </w:r>
          </w:p>
        </w:tc>
      </w:tr>
      <w:tr w:rsidR="007356D6" w14:paraId="08F4C341" w14:textId="77777777">
        <w:trPr>
          <w:trHeight w:val="420"/>
        </w:trPr>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7043A"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A1F94" w14:textId="77777777" w:rsidR="007356D6" w:rsidRDefault="00D7602D">
            <w:pPr>
              <w:numPr>
                <w:ilvl w:val="0"/>
                <w:numId w:val="3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ICANN in partnership with:</w:t>
            </w:r>
          </w:p>
          <w:p w14:paraId="3AAA4A02" w14:textId="77777777" w:rsidR="007356D6" w:rsidRDefault="00D7602D">
            <w:pPr>
              <w:numPr>
                <w:ilvl w:val="0"/>
                <w:numId w:val="3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Africa Network Operators Group(AFNOG)</w:t>
            </w:r>
          </w:p>
          <w:p w14:paraId="31E5EF04" w14:textId="77777777" w:rsidR="007356D6" w:rsidRDefault="00D7602D">
            <w:pPr>
              <w:numPr>
                <w:ilvl w:val="0"/>
                <w:numId w:val="3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Africa Top Level Domains Organization (AFTLD)</w:t>
            </w:r>
          </w:p>
          <w:p w14:paraId="5D0F4072" w14:textId="77777777" w:rsidR="007356D6" w:rsidRDefault="00D7602D">
            <w:pPr>
              <w:numPr>
                <w:ilvl w:val="0"/>
                <w:numId w:val="3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Association Of African Universities (AAU)</w:t>
            </w:r>
          </w:p>
          <w:p w14:paraId="2D284702" w14:textId="77777777" w:rsidR="007356D6" w:rsidRDefault="00D7602D">
            <w:pPr>
              <w:numPr>
                <w:ilvl w:val="0"/>
                <w:numId w:val="3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Society (ISOC)</w:t>
            </w:r>
          </w:p>
          <w:p w14:paraId="7D38D949" w14:textId="77777777" w:rsidR="007356D6" w:rsidRDefault="00D7602D">
            <w:pPr>
              <w:numPr>
                <w:ilvl w:val="0"/>
                <w:numId w:val="3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Network Startup Resource Center (NSRC)</w:t>
            </w:r>
          </w:p>
        </w:tc>
      </w:tr>
      <w:tr w:rsidR="007356D6" w14:paraId="509F1D4E" w14:textId="77777777">
        <w:trPr>
          <w:trHeight w:val="420"/>
        </w:trPr>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3404C"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67979"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penetration in Africa grew from 1.2% in 2000 to 43% in 2022. This explosive growth is driven by a digitally savvy, young, and educated urban workforce for whom the adoption and consumption of online services is second nature. ICANN is committed to</w:t>
            </w:r>
            <w:r>
              <w:rPr>
                <w:rFonts w:ascii="Times New Roman" w:eastAsia="Times New Roman" w:hAnsi="Times New Roman" w:cs="Times New Roman"/>
                <w:sz w:val="20"/>
                <w:szCs w:val="20"/>
              </w:rPr>
              <w:t xml:space="preserve"> ensuring that the Internet continues to grow safely in Africa, and in a stable manner, to bring communities, cultures, and economies together. This can only happen by creating an alliance among the various stakeholders who contribute to and influence the </w:t>
            </w:r>
            <w:r>
              <w:rPr>
                <w:rFonts w:ascii="Times New Roman" w:eastAsia="Times New Roman" w:hAnsi="Times New Roman" w:cs="Times New Roman"/>
                <w:sz w:val="20"/>
                <w:szCs w:val="20"/>
              </w:rPr>
              <w:t>Internet ecosystem in Africa.</w:t>
            </w:r>
            <w:r>
              <w:rPr>
                <w:rFonts w:ascii="Times New Roman" w:eastAsia="Times New Roman" w:hAnsi="Times New Roman" w:cs="Times New Roman"/>
                <w:sz w:val="20"/>
                <w:szCs w:val="20"/>
              </w:rPr>
              <w:br/>
              <w:t>Collaborating with partners across the continent, the Coalition for Digital Africa will be able to accomplish more than each organisation could achieve on its own, thus creating workable responses to regional challenges and ul</w:t>
            </w:r>
            <w:r>
              <w:rPr>
                <w:rFonts w:ascii="Times New Roman" w:eastAsia="Times New Roman" w:hAnsi="Times New Roman" w:cs="Times New Roman"/>
                <w:sz w:val="20"/>
                <w:szCs w:val="20"/>
              </w:rPr>
              <w:t>timately, serving the global public interest.</w:t>
            </w:r>
          </w:p>
        </w:tc>
      </w:tr>
      <w:tr w:rsidR="007356D6" w14:paraId="5B7D86DF" w14:textId="77777777">
        <w:trPr>
          <w:trHeight w:val="420"/>
        </w:trPr>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4070A"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ECBF8" w14:textId="77777777" w:rsidR="007356D6" w:rsidRDefault="00D7602D">
            <w:pPr>
              <w:numPr>
                <w:ilvl w:val="0"/>
                <w:numId w:val="1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Install 2</w:t>
            </w:r>
            <w:r>
              <w:rPr>
                <w:rFonts w:ascii="Georgia" w:eastAsia="Georgia" w:hAnsi="Georgia" w:cs="Georgia"/>
                <w:sz w:val="23"/>
                <w:szCs w:val="23"/>
                <w:highlight w:val="white"/>
              </w:rPr>
              <w:t xml:space="preserve"> </w:t>
            </w:r>
            <w:r>
              <w:rPr>
                <w:rFonts w:ascii="Times New Roman" w:eastAsia="Times New Roman" w:hAnsi="Times New Roman" w:cs="Times New Roman"/>
                <w:sz w:val="20"/>
                <w:szCs w:val="20"/>
              </w:rPr>
              <w:t>ICANN Managed Root Server (IMRS) clusters in Africa - one in Kenya, other location to be announced - in order to:</w:t>
            </w:r>
          </w:p>
          <w:p w14:paraId="32E3D1EC" w14:textId="77777777" w:rsidR="007356D6" w:rsidRDefault="00D7602D">
            <w:pPr>
              <w:numPr>
                <w:ilvl w:val="1"/>
                <w:numId w:val="1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 crucial capacity to suppo</w:t>
            </w:r>
            <w:r>
              <w:rPr>
                <w:rFonts w:ascii="Times New Roman" w:eastAsia="Times New Roman" w:hAnsi="Times New Roman" w:cs="Times New Roman"/>
                <w:sz w:val="20"/>
                <w:szCs w:val="20"/>
              </w:rPr>
              <w:t>rt the anticipated growth in Internet use across Africa.</w:t>
            </w:r>
          </w:p>
          <w:p w14:paraId="68F919A2" w14:textId="77777777" w:rsidR="007356D6" w:rsidRDefault="00D7602D">
            <w:pPr>
              <w:numPr>
                <w:ilvl w:val="1"/>
                <w:numId w:val="1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Diminish the risk of Internet service disruptions and degradation due to cyberattacks.</w:t>
            </w:r>
          </w:p>
          <w:p w14:paraId="37593FF5" w14:textId="77777777" w:rsidR="007356D6" w:rsidRDefault="00D7602D">
            <w:pPr>
              <w:numPr>
                <w:ilvl w:val="1"/>
                <w:numId w:val="1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and enhance the overall resilience of the DNS infrastructure in Africa.</w:t>
            </w:r>
          </w:p>
          <w:p w14:paraId="75F76741" w14:textId="77777777" w:rsidR="007356D6" w:rsidRDefault="00D7602D">
            <w:pPr>
              <w:numPr>
                <w:ilvl w:val="0"/>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Prepare email systems and other communication platforms within higher education institutions for Universal Acceptance (UA) and Email Address Internationalisation (EAI) by:</w:t>
            </w:r>
          </w:p>
          <w:p w14:paraId="2F410CDE"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Creating awareness of and developing capacity for UA and EAI within academic institu</w:t>
            </w:r>
            <w:r>
              <w:rPr>
                <w:rFonts w:ascii="Times New Roman" w:eastAsia="Times New Roman" w:hAnsi="Times New Roman" w:cs="Times New Roman"/>
                <w:sz w:val="20"/>
                <w:szCs w:val="20"/>
              </w:rPr>
              <w:t>tions.</w:t>
            </w:r>
          </w:p>
          <w:p w14:paraId="6D977BFC"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Providing training so that these institutions can build their email systems, databases, and websites UA-ready.</w:t>
            </w:r>
          </w:p>
          <w:p w14:paraId="677C5C7E"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Offering information to higher education institutions, enabling them to incorporate UA and internationalised domain names into their curri</w:t>
            </w:r>
            <w:r>
              <w:rPr>
                <w:rFonts w:ascii="Times New Roman" w:eastAsia="Times New Roman" w:hAnsi="Times New Roman" w:cs="Times New Roman"/>
                <w:sz w:val="20"/>
                <w:szCs w:val="20"/>
              </w:rPr>
              <w:t>cula.</w:t>
            </w:r>
          </w:p>
          <w:p w14:paraId="28F547FC"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Encouraging higher education and research institutions to participate in the work of the Universal Acceptance Steering Group (UASG).</w:t>
            </w:r>
          </w:p>
          <w:p w14:paraId="64D74BD6" w14:textId="77777777" w:rsidR="007356D6" w:rsidRDefault="00D7602D">
            <w:pPr>
              <w:numPr>
                <w:ilvl w:val="0"/>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Encourage Domain Name System (DNS) operators, registries, and registrars in selected African countries to implement a</w:t>
            </w:r>
            <w:r>
              <w:rPr>
                <w:rFonts w:ascii="Times New Roman" w:eastAsia="Times New Roman" w:hAnsi="Times New Roman" w:cs="Times New Roman"/>
                <w:sz w:val="20"/>
                <w:szCs w:val="20"/>
              </w:rPr>
              <w:t>nd deploy DNS Security Extensions (DNSSEC), while working with network operators to turn on DNSSEC validation. This effort will ultimately lead to the development of a DNS resource portal for Africa. Expected follow-ups in:</w:t>
            </w:r>
          </w:p>
          <w:p w14:paraId="328540E9"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 improved DNSSEC deployme</w:t>
            </w:r>
            <w:r>
              <w:rPr>
                <w:rFonts w:ascii="Times New Roman" w:eastAsia="Times New Roman" w:hAnsi="Times New Roman" w:cs="Times New Roman"/>
                <w:sz w:val="20"/>
                <w:szCs w:val="20"/>
              </w:rPr>
              <w:t>nt across many ccTLDs in Africa.</w:t>
            </w:r>
          </w:p>
          <w:p w14:paraId="3D180143"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Increased uptake of DNSSEC at the second and third levels of domain names.</w:t>
            </w:r>
          </w:p>
          <w:p w14:paraId="5CF54047"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online DNS resource portal and library.</w:t>
            </w:r>
          </w:p>
          <w:p w14:paraId="47AFD4EF"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More secure and resilient DNS infrastructure in Africa.</w:t>
            </w:r>
          </w:p>
          <w:p w14:paraId="3F88B94E"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Greater percentage of DNSSEC validation among Afr</w:t>
            </w:r>
            <w:r>
              <w:rPr>
                <w:rFonts w:ascii="Times New Roman" w:eastAsia="Times New Roman" w:hAnsi="Times New Roman" w:cs="Times New Roman"/>
                <w:sz w:val="20"/>
                <w:szCs w:val="20"/>
              </w:rPr>
              <w:t>ican DNS Operator</w:t>
            </w:r>
          </w:p>
          <w:p w14:paraId="7B39AF10" w14:textId="77777777" w:rsidR="007356D6" w:rsidRDefault="00D7602D">
            <w:pPr>
              <w:numPr>
                <w:ilvl w:val="0"/>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Increase (or attract) participation and contribution from Africa in multistakeholder Internet policymaking by:</w:t>
            </w:r>
          </w:p>
          <w:p w14:paraId="6EFDEED2"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Offering  tailored capacity development activities led by industry experts through online courses, hands-on workshops, and webi</w:t>
            </w:r>
            <w:r>
              <w:rPr>
                <w:rFonts w:ascii="Times New Roman" w:eastAsia="Times New Roman" w:hAnsi="Times New Roman" w:cs="Times New Roman"/>
                <w:sz w:val="20"/>
                <w:szCs w:val="20"/>
              </w:rPr>
              <w:t>nars.</w:t>
            </w:r>
          </w:p>
          <w:p w14:paraId="1EBFF1CA"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Making each ccTLD an asset for the development of meaningful connectivity in their respective country.</w:t>
            </w:r>
          </w:p>
          <w:p w14:paraId="44ABA3D4"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Assisting ccTLD registries to establish a sustainable environment for the development of the Internet country code.</w:t>
            </w:r>
          </w:p>
          <w:p w14:paraId="07B8E6DE"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Assisting governments, regulato</w:t>
            </w:r>
            <w:r>
              <w:rPr>
                <w:rFonts w:ascii="Times New Roman" w:eastAsia="Times New Roman" w:hAnsi="Times New Roman" w:cs="Times New Roman"/>
                <w:sz w:val="20"/>
                <w:szCs w:val="20"/>
              </w:rPr>
              <w:t>rs, and selected ccTLD registries in the development of partnerships, growth strategies, and network registrars.</w:t>
            </w:r>
          </w:p>
        </w:tc>
      </w:tr>
      <w:tr w:rsidR="007356D6" w14:paraId="5DC4FC54" w14:textId="77777777">
        <w:trPr>
          <w:trHeight w:val="420"/>
        </w:trPr>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C0A00"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Results / Impact / Lessons learned (what worked / remaining challenges)</w:t>
            </w:r>
          </w:p>
        </w:tc>
        <w:tc>
          <w:tcPr>
            <w:tcW w:w="7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89EE8" w14:textId="77777777" w:rsidR="007356D6" w:rsidRDefault="00D7602D">
            <w:pPr>
              <w:numPr>
                <w:ilvl w:val="0"/>
                <w:numId w:val="5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 the project has just been launched at the Global IGF 2022 in Addis Ababa. Results (some mentioned above) are expected over the next three years. The first concrete achievement should be the installation of a new IMRS cluster server in Kenya, withi</w:t>
            </w:r>
            <w:r>
              <w:rPr>
                <w:rFonts w:ascii="Times New Roman" w:eastAsia="Times New Roman" w:hAnsi="Times New Roman" w:cs="Times New Roman"/>
                <w:sz w:val="20"/>
                <w:szCs w:val="20"/>
              </w:rPr>
              <w:t>n a few months.</w:t>
            </w:r>
          </w:p>
        </w:tc>
      </w:tr>
      <w:tr w:rsidR="007356D6" w14:paraId="4B15A796" w14:textId="77777777">
        <w:trPr>
          <w:trHeight w:val="420"/>
        </w:trPr>
        <w:tc>
          <w:tcPr>
            <w:tcW w:w="963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910F862" w14:textId="77777777" w:rsidR="007356D6" w:rsidRDefault="00D7602D">
            <w:pPr>
              <w:spacing w:line="240" w:lineRule="auto"/>
              <w:jc w:val="center"/>
              <w:rPr>
                <w:b/>
              </w:rPr>
            </w:pPr>
            <w:r>
              <w:rPr>
                <w:b/>
              </w:rPr>
              <w:t>2024 Follow-up</w:t>
            </w:r>
          </w:p>
        </w:tc>
      </w:tr>
      <w:tr w:rsidR="007356D6" w14:paraId="1E4E5B70" w14:textId="77777777">
        <w:trPr>
          <w:trHeight w:val="549"/>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8CAF31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DDA6A2" w14:textId="77777777" w:rsidR="007356D6" w:rsidRDefault="00D7602D">
            <w:pPr>
              <w:numPr>
                <w:ilvl w:val="0"/>
                <w:numId w:val="2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6C7628F2" w14:textId="77777777">
        <w:trPr>
          <w:trHeight w:val="420"/>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F168F3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80D4F2"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9917F93" w14:textId="77777777">
        <w:trPr>
          <w:trHeight w:val="420"/>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C0DAE6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E74011"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917E1A9" w14:textId="77777777">
        <w:trPr>
          <w:trHeight w:val="420"/>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DD81B7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A2A81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D6E6F67" w14:textId="77777777">
        <w:trPr>
          <w:trHeight w:val="420"/>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438DFA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E983B5"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128604BF" w14:textId="77777777">
        <w:trPr>
          <w:trHeight w:val="420"/>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B4822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F30EA8"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32A22AB" w14:textId="77777777">
        <w:trPr>
          <w:trHeight w:val="420"/>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A70D25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41AA2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6225849" w14:textId="77777777">
        <w:trPr>
          <w:trHeight w:val="420"/>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280B4F0"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AA4B95" w14:textId="77777777" w:rsidR="007356D6" w:rsidRDefault="00D7602D">
            <w:pPr>
              <w:spacing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organisation’s statement that stood out in the survey reply)</w:t>
            </w:r>
          </w:p>
        </w:tc>
      </w:tr>
    </w:tbl>
    <w:p w14:paraId="7EA1DB75" w14:textId="77777777" w:rsidR="007356D6" w:rsidRDefault="007356D6">
      <w:pPr>
        <w:spacing w:before="240" w:after="240" w:line="240" w:lineRule="auto"/>
        <w:rPr>
          <w:rFonts w:ascii="Times New Roman" w:eastAsia="Times New Roman" w:hAnsi="Times New Roman" w:cs="Times New Roman"/>
        </w:rPr>
      </w:pPr>
    </w:p>
    <w:p w14:paraId="226D09C6" w14:textId="77777777" w:rsidR="007356D6" w:rsidRDefault="00D7602D">
      <w:pPr>
        <w:pStyle w:val="Heading3"/>
        <w:numPr>
          <w:ilvl w:val="1"/>
          <w:numId w:val="56"/>
        </w:numPr>
        <w:spacing w:after="0"/>
        <w:jc w:val="both"/>
      </w:pPr>
      <w:bookmarkStart w:id="50" w:name="_p2758dg1mwkc" w:colFirst="0" w:colLast="0"/>
      <w:bookmarkEnd w:id="50"/>
      <w:r>
        <w:rPr>
          <w:rFonts w:ascii="Times New Roman" w:eastAsia="Times New Roman" w:hAnsi="Times New Roman" w:cs="Times New Roman"/>
          <w:color w:val="38761D"/>
        </w:rPr>
        <w:t>UNDESA</w:t>
      </w:r>
    </w:p>
    <w:p w14:paraId="4C1CA48E" w14:textId="77777777" w:rsidR="007356D6" w:rsidRDefault="00D7602D">
      <w:pPr>
        <w:numPr>
          <w:ilvl w:val="1"/>
          <w:numId w:val="56"/>
        </w:numPr>
      </w:pPr>
      <w:r>
        <w:t>…</w:t>
      </w:r>
    </w:p>
    <w:p w14:paraId="01E1BB33" w14:textId="77777777" w:rsidR="007356D6" w:rsidRDefault="007356D6">
      <w:pPr>
        <w:rPr>
          <w:rFonts w:ascii="Times New Roman" w:eastAsia="Times New Roman" w:hAnsi="Times New Roman" w:cs="Times New Roman"/>
        </w:rPr>
      </w:pPr>
    </w:p>
    <w:p w14:paraId="4BD73E50" w14:textId="77777777" w:rsidR="007356D6" w:rsidRDefault="007356D6">
      <w:pPr>
        <w:rPr>
          <w:rFonts w:ascii="Times New Roman" w:eastAsia="Times New Roman" w:hAnsi="Times New Roman" w:cs="Times New Roman"/>
        </w:rPr>
      </w:pPr>
    </w:p>
    <w:p w14:paraId="1B7E520B" w14:textId="77777777" w:rsidR="007356D6" w:rsidRDefault="007356D6">
      <w:pPr>
        <w:rPr>
          <w:rFonts w:ascii="Times New Roman" w:eastAsia="Times New Roman" w:hAnsi="Times New Roman" w:cs="Times New Roman"/>
        </w:rPr>
      </w:pPr>
    </w:p>
    <w:p w14:paraId="581E2558" w14:textId="77777777" w:rsidR="007356D6" w:rsidRDefault="007356D6">
      <w:pPr>
        <w:rPr>
          <w:rFonts w:ascii="Times New Roman" w:eastAsia="Times New Roman" w:hAnsi="Times New Roman" w:cs="Times New Roman"/>
        </w:rPr>
      </w:pPr>
    </w:p>
    <w:p w14:paraId="178B8766" w14:textId="77777777" w:rsidR="007356D6" w:rsidRDefault="007356D6">
      <w:pPr>
        <w:rPr>
          <w:rFonts w:ascii="Times New Roman" w:eastAsia="Times New Roman" w:hAnsi="Times New Roman" w:cs="Times New Roman"/>
        </w:rPr>
      </w:pPr>
    </w:p>
    <w:p w14:paraId="5ED61325" w14:textId="77777777" w:rsidR="007356D6" w:rsidRDefault="007356D6">
      <w:pPr>
        <w:rPr>
          <w:rFonts w:ascii="Times New Roman" w:eastAsia="Times New Roman" w:hAnsi="Times New Roman" w:cs="Times New Roman"/>
        </w:rPr>
      </w:pPr>
    </w:p>
    <w:p w14:paraId="55A94A08" w14:textId="77777777" w:rsidR="007356D6" w:rsidRDefault="007356D6">
      <w:pPr>
        <w:rPr>
          <w:rFonts w:ascii="Times New Roman" w:eastAsia="Times New Roman" w:hAnsi="Times New Roman" w:cs="Times New Roman"/>
        </w:rPr>
      </w:pPr>
    </w:p>
    <w:p w14:paraId="5A89FBB5" w14:textId="77777777" w:rsidR="007356D6" w:rsidRDefault="007356D6">
      <w:pPr>
        <w:rPr>
          <w:rFonts w:ascii="Times New Roman" w:eastAsia="Times New Roman" w:hAnsi="Times New Roman" w:cs="Times New Roman"/>
        </w:rPr>
      </w:pPr>
    </w:p>
    <w:p w14:paraId="7A8A30AF" w14:textId="77777777" w:rsidR="007356D6" w:rsidRDefault="007356D6">
      <w:pPr>
        <w:rPr>
          <w:rFonts w:ascii="Times New Roman" w:eastAsia="Times New Roman" w:hAnsi="Times New Roman" w:cs="Times New Roman"/>
        </w:rPr>
      </w:pPr>
    </w:p>
    <w:p w14:paraId="227A92ED" w14:textId="77777777" w:rsidR="007356D6" w:rsidRDefault="00D7602D">
      <w:pPr>
        <w:pStyle w:val="Heading2"/>
        <w:numPr>
          <w:ilvl w:val="0"/>
          <w:numId w:val="56"/>
        </w:numPr>
        <w:spacing w:after="0"/>
        <w:rPr>
          <w:rFonts w:ascii="Times New Roman" w:eastAsia="Times New Roman" w:hAnsi="Times New Roman" w:cs="Times New Roman"/>
        </w:rPr>
      </w:pPr>
      <w:bookmarkStart w:id="51" w:name="_nvr87nqv2c0o" w:colFirst="0" w:colLast="0"/>
      <w:bookmarkEnd w:id="51"/>
      <w:r>
        <w:rPr>
          <w:rFonts w:ascii="Times New Roman" w:eastAsia="Times New Roman" w:hAnsi="Times New Roman" w:cs="Times New Roman"/>
          <w:b/>
          <w:color w:val="38761D"/>
        </w:rPr>
        <w:t>Looking Ahead</w:t>
      </w:r>
      <w:bookmarkStart w:id="52" w:name="kix.z0fg1zgnfoe3" w:colFirst="0" w:colLast="0"/>
      <w:bookmarkEnd w:id="52"/>
    </w:p>
    <w:p w14:paraId="5363508F" w14:textId="77777777" w:rsidR="007356D6" w:rsidRDefault="00D7602D">
      <w:pPr>
        <w:pStyle w:val="Heading3"/>
        <w:numPr>
          <w:ilvl w:val="1"/>
          <w:numId w:val="56"/>
        </w:numPr>
        <w:spacing w:before="0"/>
      </w:pPr>
      <w:bookmarkStart w:id="53" w:name="_jeypcht9mmc2" w:colFirst="0" w:colLast="0"/>
      <w:bookmarkEnd w:id="53"/>
      <w:r>
        <w:rPr>
          <w:rFonts w:ascii="Times New Roman" w:eastAsia="Times New Roman" w:hAnsi="Times New Roman" w:cs="Times New Roman"/>
          <w:color w:val="38761D"/>
        </w:rPr>
        <w:t xml:space="preserve">Connecting the dots with the IGF Community and IGF 2024 Themes </w:t>
      </w:r>
    </w:p>
    <w:p w14:paraId="24165C36" w14:textId="77777777" w:rsidR="007356D6" w:rsidRDefault="007356D6">
      <w:pPr>
        <w:ind w:left="1440"/>
        <w:rPr>
          <w:rFonts w:ascii="Times New Roman" w:eastAsia="Times New Roman" w:hAnsi="Times New Roman" w:cs="Times New Roman"/>
        </w:rPr>
      </w:pPr>
    </w:p>
    <w:p w14:paraId="08DC4A6E" w14:textId="77777777" w:rsidR="007356D6" w:rsidRDefault="007356D6">
      <w:pPr>
        <w:rPr>
          <w:rFonts w:ascii="Times New Roman" w:eastAsia="Times New Roman" w:hAnsi="Times New Roman" w:cs="Times New Roman"/>
        </w:rPr>
      </w:pPr>
    </w:p>
    <w:p w14:paraId="06200407" w14:textId="77777777" w:rsidR="007356D6" w:rsidRDefault="00D7602D">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sz w:val="24"/>
          <w:szCs w:val="24"/>
          <w:highlight w:val="yellow"/>
        </w:rPr>
        <w:t>Section to be concluded post-annual meeting; it will contemplate the connections between the PNMA work, the subtheme “Advancing human rights and inclusion in the digital age”, and other relevant workshops/activities taking place in Riyadh.</w:t>
      </w:r>
    </w:p>
    <w:p w14:paraId="15473E83" w14:textId="77777777" w:rsidR="007356D6" w:rsidRDefault="007356D6">
      <w:pPr>
        <w:ind w:left="1440"/>
        <w:rPr>
          <w:rFonts w:ascii="Times New Roman" w:eastAsia="Times New Roman" w:hAnsi="Times New Roman" w:cs="Times New Roman"/>
          <w:color w:val="38761D"/>
          <w:sz w:val="28"/>
          <w:szCs w:val="28"/>
        </w:rPr>
      </w:pPr>
    </w:p>
    <w:p w14:paraId="6935E361" w14:textId="77777777" w:rsidR="007356D6" w:rsidRDefault="00D7602D">
      <w:pPr>
        <w:numPr>
          <w:ilvl w:val="1"/>
          <w:numId w:val="56"/>
        </w:numPr>
      </w:pPr>
      <w:r>
        <w:rPr>
          <w:rFonts w:ascii="Times New Roman" w:eastAsia="Times New Roman" w:hAnsi="Times New Roman" w:cs="Times New Roman"/>
          <w:color w:val="38761D"/>
          <w:sz w:val="28"/>
          <w:szCs w:val="28"/>
        </w:rPr>
        <w:t>Lessons learned between 2021 and 2024</w:t>
      </w:r>
    </w:p>
    <w:p w14:paraId="5360FE7E" w14:textId="77777777" w:rsidR="007356D6" w:rsidRDefault="00D7602D">
      <w:pPr>
        <w:numPr>
          <w:ilvl w:val="2"/>
          <w:numId w:val="56"/>
        </w:numPr>
      </w:pPr>
      <w:r>
        <w:rPr>
          <w:rFonts w:ascii="Times New Roman" w:eastAsia="Times New Roman" w:hAnsi="Times New Roman" w:cs="Times New Roman"/>
          <w:color w:val="38761D"/>
          <w:sz w:val="28"/>
          <w:szCs w:val="28"/>
        </w:rPr>
        <w:t>Driving impact with policy and practice</w:t>
      </w:r>
    </w:p>
    <w:p w14:paraId="4B100416" w14:textId="77777777" w:rsidR="007356D6" w:rsidRDefault="00D7602D">
      <w:pPr>
        <w:numPr>
          <w:ilvl w:val="2"/>
          <w:numId w:val="56"/>
        </w:numPr>
      </w:pPr>
      <w:r>
        <w:rPr>
          <w:rFonts w:ascii="Times New Roman" w:eastAsia="Times New Roman" w:hAnsi="Times New Roman" w:cs="Times New Roman"/>
          <w:color w:val="38761D"/>
          <w:sz w:val="28"/>
          <w:szCs w:val="28"/>
        </w:rPr>
        <w:t>Revised policy issues for consideration</w:t>
      </w:r>
    </w:p>
    <w:p w14:paraId="40799171" w14:textId="77777777" w:rsidR="007356D6" w:rsidRDefault="007356D6">
      <w:pPr>
        <w:ind w:left="1440"/>
        <w:rPr>
          <w:rFonts w:ascii="Times New Roman" w:eastAsia="Times New Roman" w:hAnsi="Times New Roman" w:cs="Times New Roman"/>
          <w:sz w:val="28"/>
          <w:szCs w:val="28"/>
        </w:rPr>
      </w:pPr>
    </w:p>
    <w:p w14:paraId="12CD608A" w14:textId="77777777" w:rsidR="007356D6" w:rsidRDefault="007356D6">
      <w:pPr>
        <w:rPr>
          <w:rFonts w:ascii="Times New Roman" w:eastAsia="Times New Roman" w:hAnsi="Times New Roman" w:cs="Times New Roman"/>
        </w:rPr>
      </w:pPr>
    </w:p>
    <w:p w14:paraId="6BFD425B" w14:textId="77777777" w:rsidR="007356D6" w:rsidRDefault="00D7602D">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yellow"/>
        </w:rPr>
        <w:t>Section to be concluded post-annual meeting</w:t>
      </w:r>
    </w:p>
    <w:p w14:paraId="6DE78E0C" w14:textId="77777777" w:rsidR="007356D6" w:rsidRDefault="007356D6">
      <w:pPr>
        <w:pStyle w:val="Heading3"/>
        <w:rPr>
          <w:rFonts w:ascii="Times New Roman" w:eastAsia="Times New Roman" w:hAnsi="Times New Roman" w:cs="Times New Roman"/>
          <w:color w:val="38761D"/>
        </w:rPr>
      </w:pPr>
      <w:bookmarkStart w:id="54" w:name="_pl4pndx45uz4" w:colFirst="0" w:colLast="0"/>
      <w:bookmarkEnd w:id="54"/>
    </w:p>
    <w:p w14:paraId="67415F43" w14:textId="77777777" w:rsidR="007356D6" w:rsidRDefault="007356D6"/>
    <w:p w14:paraId="51F085C0" w14:textId="77777777" w:rsidR="007356D6" w:rsidRDefault="007356D6"/>
    <w:p w14:paraId="1347EC9F" w14:textId="77777777" w:rsidR="007356D6" w:rsidRDefault="00D7602D">
      <w:pPr>
        <w:ind w:left="720"/>
        <w:rPr>
          <w:rFonts w:ascii="Times New Roman" w:eastAsia="Times New Roman" w:hAnsi="Times New Roman" w:cs="Times New Roman"/>
        </w:rPr>
      </w:pPr>
      <w:r>
        <w:br w:type="page"/>
      </w:r>
    </w:p>
    <w:p w14:paraId="494D4962" w14:textId="77777777" w:rsidR="007356D6" w:rsidRDefault="00D7602D">
      <w:pPr>
        <w:pStyle w:val="Heading2"/>
        <w:numPr>
          <w:ilvl w:val="0"/>
          <w:numId w:val="56"/>
        </w:numPr>
        <w:rPr>
          <w:rFonts w:ascii="Times New Roman" w:eastAsia="Times New Roman" w:hAnsi="Times New Roman" w:cs="Times New Roman"/>
        </w:rPr>
      </w:pPr>
      <w:bookmarkStart w:id="55" w:name="_2ktftpvyj32v" w:colFirst="0" w:colLast="0"/>
      <w:bookmarkEnd w:id="55"/>
      <w:r>
        <w:rPr>
          <w:rFonts w:ascii="Times New Roman" w:eastAsia="Times New Roman" w:hAnsi="Times New Roman" w:cs="Times New Roman"/>
          <w:b/>
          <w:color w:val="38761D"/>
        </w:rPr>
        <w:lastRenderedPageBreak/>
        <w:t>2024 IGF PNMA Process and Plenary Session: key messages and concluding remar</w:t>
      </w:r>
      <w:bookmarkStart w:id="56" w:name="nbcb9jgqxnv3" w:colFirst="0" w:colLast="0"/>
      <w:bookmarkEnd w:id="56"/>
      <w:r>
        <w:rPr>
          <w:rFonts w:ascii="Times New Roman" w:eastAsia="Times New Roman" w:hAnsi="Times New Roman" w:cs="Times New Roman"/>
          <w:b/>
          <w:color w:val="38761D"/>
        </w:rPr>
        <w:t>ks</w:t>
      </w:r>
    </w:p>
    <w:p w14:paraId="3505023A" w14:textId="77777777" w:rsidR="007356D6" w:rsidRDefault="007356D6">
      <w:pPr>
        <w:spacing w:line="240" w:lineRule="auto"/>
        <w:rPr>
          <w:rFonts w:ascii="Times New Roman" w:eastAsia="Times New Roman" w:hAnsi="Times New Roman" w:cs="Times New Roman"/>
          <w:sz w:val="24"/>
          <w:szCs w:val="24"/>
          <w:highlight w:val="yellow"/>
        </w:rPr>
      </w:pPr>
    </w:p>
    <w:p w14:paraId="1C334BCE" w14:textId="77777777" w:rsidR="007356D6" w:rsidRDefault="00D7602D">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Section</w:t>
      </w:r>
      <w:r>
        <w:rPr>
          <w:rFonts w:ascii="Times New Roman" w:eastAsia="Times New Roman" w:hAnsi="Times New Roman" w:cs="Times New Roman"/>
          <w:sz w:val="24"/>
          <w:szCs w:val="24"/>
          <w:highlight w:val="yellow"/>
        </w:rPr>
        <w:t xml:space="preserve"> to be collated/concluded post-annual meeting. It will include achieved outputs (vis à vis what had been enlisted as priority in the PNMA Work Plan); key messages raised during the Plenary Session, and concluding remarks.</w:t>
      </w:r>
    </w:p>
    <w:p w14:paraId="76EFE46A" w14:textId="77777777" w:rsidR="007356D6" w:rsidRDefault="007356D6">
      <w:pPr>
        <w:spacing w:line="240" w:lineRule="auto"/>
        <w:jc w:val="both"/>
        <w:rPr>
          <w:rFonts w:ascii="Times New Roman" w:eastAsia="Times New Roman" w:hAnsi="Times New Roman" w:cs="Times New Roman"/>
          <w:sz w:val="24"/>
          <w:szCs w:val="24"/>
          <w:highlight w:val="yellow"/>
        </w:rPr>
      </w:pPr>
    </w:p>
    <w:p w14:paraId="6C1ABAC1" w14:textId="77777777" w:rsidR="007356D6" w:rsidRDefault="007356D6">
      <w:pPr>
        <w:spacing w:line="240" w:lineRule="auto"/>
        <w:jc w:val="both"/>
        <w:rPr>
          <w:rFonts w:ascii="Times New Roman" w:eastAsia="Times New Roman" w:hAnsi="Times New Roman" w:cs="Times New Roman"/>
          <w:sz w:val="24"/>
          <w:szCs w:val="24"/>
          <w:highlight w:val="yellow"/>
        </w:rPr>
      </w:pPr>
    </w:p>
    <w:p w14:paraId="587B6EE1" w14:textId="77777777" w:rsidR="007356D6" w:rsidRDefault="00D7602D">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38761D"/>
          <w:sz w:val="28"/>
          <w:szCs w:val="28"/>
        </w:rPr>
        <w:t>8.1 The Plenary Session</w:t>
      </w:r>
    </w:p>
    <w:p w14:paraId="125995D1" w14:textId="77777777" w:rsidR="007356D6" w:rsidRDefault="007356D6">
      <w:pPr>
        <w:rPr>
          <w:rFonts w:ascii="Times New Roman" w:eastAsia="Times New Roman" w:hAnsi="Times New Roman" w:cs="Times New Roman"/>
          <w:sz w:val="24"/>
          <w:szCs w:val="24"/>
        </w:rPr>
      </w:pPr>
    </w:p>
    <w:p w14:paraId="11D531DE" w14:textId="77777777" w:rsidR="007356D6" w:rsidRDefault="00D760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2024, the PNMA Plenary Session will be split into two complementary moments, each touching upon a topic close to the current policy network’s deliberations: the traditional presentation of good successes towards meaningful access - this time with focus </w:t>
      </w:r>
      <w:r>
        <w:rPr>
          <w:rFonts w:ascii="Times New Roman" w:eastAsia="Times New Roman" w:hAnsi="Times New Roman" w:cs="Times New Roman"/>
          <w:sz w:val="24"/>
          <w:szCs w:val="24"/>
        </w:rPr>
        <w:t xml:space="preserve">on the Arab region -, and a second discussion on the role of meaningful access in the proper setup, use, and reporting of crisis response mechanisms (e.g., emergency systems connected to natural disasters). </w:t>
      </w:r>
    </w:p>
    <w:p w14:paraId="3AE6DB4E" w14:textId="77777777" w:rsidR="007356D6" w:rsidRDefault="007356D6">
      <w:pPr>
        <w:rPr>
          <w:rFonts w:ascii="Times New Roman" w:eastAsia="Times New Roman" w:hAnsi="Times New Roman" w:cs="Times New Roman"/>
          <w:sz w:val="24"/>
          <w:szCs w:val="24"/>
        </w:rPr>
      </w:pPr>
    </w:p>
    <w:p w14:paraId="45780804" w14:textId="77777777" w:rsidR="007356D6" w:rsidRDefault="00D760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already raised a few examples endorsed </w:t>
      </w:r>
      <w:r>
        <w:rPr>
          <w:rFonts w:ascii="Times New Roman" w:eastAsia="Times New Roman" w:hAnsi="Times New Roman" w:cs="Times New Roman"/>
          <w:sz w:val="24"/>
          <w:szCs w:val="24"/>
        </w:rPr>
        <w:t>by our community members. The PNMA gladly welcomes suggestions and feedback: even if the cases are not presented during the session, they will be part of the final output report:</w:t>
      </w:r>
    </w:p>
    <w:p w14:paraId="28D862A3" w14:textId="77777777" w:rsidR="007356D6" w:rsidRDefault="00D7602D">
      <w:pPr>
        <w:numPr>
          <w:ilvl w:val="0"/>
          <w:numId w:val="7"/>
        </w:numPr>
        <w:jc w:val="both"/>
        <w:rPr>
          <w:rFonts w:ascii="Times New Roman" w:eastAsia="Times New Roman" w:hAnsi="Times New Roman" w:cs="Times New Roman"/>
          <w:sz w:val="24"/>
          <w:szCs w:val="24"/>
        </w:rPr>
      </w:pPr>
      <w:hyperlink r:id="rId62">
        <w:r>
          <w:rPr>
            <w:rFonts w:ascii="Times New Roman" w:eastAsia="Times New Roman" w:hAnsi="Times New Roman" w:cs="Times New Roman"/>
            <w:color w:val="1155CC"/>
            <w:sz w:val="24"/>
            <w:szCs w:val="24"/>
            <w:u w:val="single"/>
          </w:rPr>
          <w:t>Airborne 5G communications</w:t>
        </w:r>
      </w:hyperlink>
      <w:r>
        <w:rPr>
          <w:rFonts w:ascii="Times New Roman" w:eastAsia="Times New Roman" w:hAnsi="Times New Roman" w:cs="Times New Roman"/>
          <w:sz w:val="24"/>
          <w:szCs w:val="24"/>
        </w:rPr>
        <w:t xml:space="preserve">, research project by Mr. </w:t>
      </w:r>
      <w:r>
        <w:rPr>
          <w:rFonts w:ascii="Times New Roman" w:eastAsia="Times New Roman" w:hAnsi="Times New Roman" w:cs="Times New Roman"/>
          <w:color w:val="222222"/>
          <w:sz w:val="24"/>
          <w:szCs w:val="24"/>
          <w:highlight w:val="white"/>
        </w:rPr>
        <w:t xml:space="preserve">Mohamed-Slim Alouini, the Al-Khawarizmi Distinguished Professor of Electrical and Computer Engineering (ECE) and the holder of the </w:t>
      </w:r>
      <w:hyperlink r:id="rId63">
        <w:r>
          <w:rPr>
            <w:rFonts w:ascii="Times New Roman" w:eastAsia="Times New Roman" w:hAnsi="Times New Roman" w:cs="Times New Roman"/>
            <w:color w:val="1155CC"/>
            <w:sz w:val="24"/>
            <w:szCs w:val="24"/>
            <w:highlight w:val="white"/>
            <w:u w:val="single"/>
          </w:rPr>
          <w:t xml:space="preserve">UNESCO Chair </w:t>
        </w:r>
        <w:r>
          <w:rPr>
            <w:rFonts w:ascii="Times New Roman" w:eastAsia="Times New Roman" w:hAnsi="Times New Roman" w:cs="Times New Roman"/>
            <w:color w:val="1155CC"/>
            <w:sz w:val="24"/>
            <w:szCs w:val="24"/>
            <w:highlight w:val="white"/>
            <w:u w:val="single"/>
          </w:rPr>
          <w:t>on Education to Connect the Unconnected</w:t>
        </w:r>
      </w:hyperlink>
      <w:r>
        <w:rPr>
          <w:rFonts w:ascii="Times New Roman" w:eastAsia="Times New Roman" w:hAnsi="Times New Roman" w:cs="Times New Roman"/>
          <w:color w:val="222222"/>
          <w:sz w:val="24"/>
          <w:szCs w:val="24"/>
          <w:highlight w:val="white"/>
        </w:rPr>
        <w:t xml:space="preserve"> at the King Abdullah University of Sciences and Technology (KAUST);</w:t>
      </w:r>
    </w:p>
    <w:p w14:paraId="104CD13F" w14:textId="77777777" w:rsidR="007356D6" w:rsidRDefault="00D7602D">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Pakistan’s </w:t>
      </w:r>
      <w:hyperlink r:id="rId64">
        <w:r>
          <w:rPr>
            <w:rFonts w:ascii="Times New Roman" w:eastAsia="Times New Roman" w:hAnsi="Times New Roman" w:cs="Times New Roman"/>
            <w:color w:val="1155CC"/>
            <w:sz w:val="24"/>
            <w:szCs w:val="24"/>
            <w:highlight w:val="white"/>
            <w:u w:val="single"/>
          </w:rPr>
          <w:t>Digital Gender Inclusion Strategy</w:t>
        </w:r>
      </w:hyperlink>
      <w:r>
        <w:rPr>
          <w:rFonts w:ascii="Times New Roman" w:eastAsia="Times New Roman" w:hAnsi="Times New Roman" w:cs="Times New Roman"/>
          <w:color w:val="222222"/>
          <w:sz w:val="24"/>
          <w:szCs w:val="24"/>
          <w:highlight w:val="white"/>
        </w:rPr>
        <w:t>, developed by an all-female team based on a nation-wide, community-centered consultation process and endorsed by the Global Digital Inclusion Partnership;</w:t>
      </w:r>
    </w:p>
    <w:p w14:paraId="6E04230B" w14:textId="77777777" w:rsidR="007356D6" w:rsidRDefault="00D7602D">
      <w:pPr>
        <w:numPr>
          <w:ilvl w:val="0"/>
          <w:numId w:val="7"/>
        </w:numPr>
        <w:jc w:val="both"/>
        <w:rPr>
          <w:rFonts w:ascii="Times New Roman" w:eastAsia="Times New Roman" w:hAnsi="Times New Roman" w:cs="Times New Roman"/>
          <w:color w:val="222222"/>
          <w:sz w:val="24"/>
          <w:szCs w:val="24"/>
          <w:highlight w:val="white"/>
        </w:rPr>
      </w:pPr>
      <w:hyperlink r:id="rId65">
        <w:r>
          <w:rPr>
            <w:rFonts w:ascii="Times New Roman" w:eastAsia="Times New Roman" w:hAnsi="Times New Roman" w:cs="Times New Roman"/>
            <w:color w:val="1155CC"/>
            <w:sz w:val="24"/>
            <w:szCs w:val="24"/>
            <w:highlight w:val="white"/>
            <w:u w:val="single"/>
          </w:rPr>
          <w:t>Universal Meaningful Connectivity</w:t>
        </w:r>
      </w:hyperlink>
      <w:r>
        <w:rPr>
          <w:rFonts w:ascii="Times New Roman" w:eastAsia="Times New Roman" w:hAnsi="Times New Roman" w:cs="Times New Roman"/>
          <w:color w:val="222222"/>
          <w:sz w:val="24"/>
          <w:szCs w:val="24"/>
          <w:highlight w:val="white"/>
        </w:rPr>
        <w:t xml:space="preserve"> yea</w:t>
      </w:r>
      <w:r>
        <w:rPr>
          <w:rFonts w:ascii="Times New Roman" w:eastAsia="Times New Roman" w:hAnsi="Times New Roman" w:cs="Times New Roman"/>
          <w:color w:val="222222"/>
          <w:sz w:val="24"/>
          <w:szCs w:val="24"/>
          <w:highlight w:val="white"/>
        </w:rPr>
        <w:t>rly update, by Mr. Martin Schaaper, ITU;</w:t>
      </w:r>
    </w:p>
    <w:p w14:paraId="2FC14FF0" w14:textId="77777777" w:rsidR="007356D6" w:rsidRDefault="00D7602D">
      <w:pPr>
        <w:numPr>
          <w:ilvl w:val="0"/>
          <w:numId w:val="7"/>
        </w:numPr>
        <w:jc w:val="both"/>
        <w:rPr>
          <w:rFonts w:ascii="Times New Roman" w:eastAsia="Times New Roman" w:hAnsi="Times New Roman" w:cs="Times New Roman"/>
          <w:color w:val="222222"/>
          <w:sz w:val="24"/>
          <w:szCs w:val="24"/>
          <w:highlight w:val="white"/>
        </w:rPr>
      </w:pPr>
      <w:hyperlink r:id="rId66">
        <w:r>
          <w:rPr>
            <w:rFonts w:ascii="Times New Roman" w:eastAsia="Times New Roman" w:hAnsi="Times New Roman" w:cs="Times New Roman"/>
            <w:color w:val="1155CC"/>
            <w:sz w:val="24"/>
            <w:szCs w:val="24"/>
            <w:u w:val="single"/>
          </w:rPr>
          <w:t>Lo</w:t>
        </w:r>
      </w:hyperlink>
      <w:hyperlink r:id="rId67">
        <w:r>
          <w:rPr>
            <w:rFonts w:ascii="Times New Roman" w:eastAsia="Times New Roman" w:hAnsi="Times New Roman" w:cs="Times New Roman"/>
            <w:color w:val="1155CC"/>
            <w:sz w:val="24"/>
            <w:szCs w:val="24"/>
            <w:u w:val="single"/>
          </w:rPr>
          <w:t>w</w:t>
        </w:r>
      </w:hyperlink>
      <w:hyperlink r:id="rId68">
        <w:r>
          <w:rPr>
            <w:rFonts w:ascii="Times New Roman" w:eastAsia="Times New Roman" w:hAnsi="Times New Roman" w:cs="Times New Roman"/>
            <w:color w:val="1155CC"/>
            <w:sz w:val="24"/>
            <w:szCs w:val="24"/>
            <w:highlight w:val="white"/>
            <w:u w:val="single"/>
          </w:rPr>
          <w:t>-Cost Weather Stations in Kyrgyzstan’s Challenging Terrain</w:t>
        </w:r>
      </w:hyperlink>
      <w:r>
        <w:rPr>
          <w:rFonts w:ascii="Times New Roman" w:eastAsia="Times New Roman" w:hAnsi="Times New Roman" w:cs="Times New Roman"/>
          <w:color w:val="222222"/>
          <w:sz w:val="24"/>
          <w:szCs w:val="24"/>
          <w:highlight w:val="white"/>
        </w:rPr>
        <w:t>, by Mr. Talant Sultanov (ISOC Kyrgyz Chapter);</w:t>
      </w:r>
    </w:p>
    <w:p w14:paraId="2624763E" w14:textId="77777777" w:rsidR="007356D6" w:rsidRDefault="00D7602D">
      <w:pPr>
        <w:numPr>
          <w:ilvl w:val="0"/>
          <w:numId w:val="7"/>
        </w:numPr>
        <w:jc w:val="both"/>
        <w:rPr>
          <w:rFonts w:ascii="Times New Roman" w:eastAsia="Times New Roman" w:hAnsi="Times New Roman" w:cs="Times New Roman"/>
          <w:color w:val="222222"/>
          <w:sz w:val="24"/>
          <w:szCs w:val="24"/>
          <w:highlight w:val="white"/>
        </w:rPr>
      </w:pPr>
      <w:hyperlink r:id="rId69">
        <w:r>
          <w:rPr>
            <w:rFonts w:ascii="Times New Roman" w:eastAsia="Times New Roman" w:hAnsi="Times New Roman" w:cs="Times New Roman"/>
            <w:color w:val="1155CC"/>
            <w:sz w:val="24"/>
            <w:szCs w:val="24"/>
            <w:highlight w:val="white"/>
            <w:u w:val="single"/>
          </w:rPr>
          <w:t>Meaningful Connectivity Measurement Proposals</w:t>
        </w:r>
      </w:hyperlink>
      <w:r>
        <w:rPr>
          <w:rFonts w:ascii="Times New Roman" w:eastAsia="Times New Roman" w:hAnsi="Times New Roman" w:cs="Times New Roman"/>
          <w:color w:val="222222"/>
          <w:sz w:val="24"/>
          <w:szCs w:val="24"/>
          <w:highlight w:val="white"/>
        </w:rPr>
        <w:t xml:space="preserve"> and the the portrait of the population in Brazil, by nic.br</w:t>
      </w:r>
    </w:p>
    <w:p w14:paraId="5FD8EA02" w14:textId="77777777" w:rsidR="007356D6" w:rsidRDefault="007356D6">
      <w:pPr>
        <w:spacing w:before="240" w:after="240"/>
        <w:rPr>
          <w:rFonts w:ascii="Times New Roman" w:eastAsia="Times New Roman" w:hAnsi="Times New Roman" w:cs="Times New Roman"/>
        </w:rPr>
      </w:pPr>
    </w:p>
    <w:p w14:paraId="1F96457D" w14:textId="77777777" w:rsidR="007356D6" w:rsidRDefault="007356D6">
      <w:pPr>
        <w:rPr>
          <w:rFonts w:ascii="Times New Roman" w:eastAsia="Times New Roman" w:hAnsi="Times New Roman" w:cs="Times New Roman"/>
        </w:rPr>
      </w:pPr>
    </w:p>
    <w:p w14:paraId="62F4A26D" w14:textId="77777777" w:rsidR="007356D6" w:rsidRDefault="00D7602D">
      <w:pPr>
        <w:rPr>
          <w:rFonts w:ascii="Times New Roman" w:eastAsia="Times New Roman" w:hAnsi="Times New Roman" w:cs="Times New Roman"/>
        </w:rPr>
      </w:pPr>
      <w:r>
        <w:br w:type="page"/>
      </w:r>
    </w:p>
    <w:p w14:paraId="5E081D84" w14:textId="77777777" w:rsidR="007356D6" w:rsidRDefault="00D7602D">
      <w:pPr>
        <w:pStyle w:val="Heading2"/>
        <w:rPr>
          <w:rFonts w:ascii="Times New Roman" w:eastAsia="Times New Roman" w:hAnsi="Times New Roman" w:cs="Times New Roman"/>
          <w:b/>
          <w:color w:val="38761D"/>
        </w:rPr>
      </w:pPr>
      <w:bookmarkStart w:id="57" w:name="q4e4rjo1v8in" w:colFirst="0" w:colLast="0"/>
      <w:bookmarkStart w:id="58" w:name="_2dpefkgkswv0" w:colFirst="0" w:colLast="0"/>
      <w:bookmarkEnd w:id="57"/>
      <w:bookmarkEnd w:id="58"/>
      <w:r>
        <w:rPr>
          <w:rFonts w:ascii="Times New Roman" w:eastAsia="Times New Roman" w:hAnsi="Times New Roman" w:cs="Times New Roman"/>
          <w:b/>
          <w:color w:val="38761D"/>
        </w:rPr>
        <w:lastRenderedPageBreak/>
        <w:t>References</w:t>
      </w:r>
    </w:p>
    <w:p w14:paraId="78613CB2" w14:textId="77777777" w:rsidR="007356D6" w:rsidRDefault="00D7602D">
      <w:pPr>
        <w:rPr>
          <w:rFonts w:ascii="Times New Roman" w:eastAsia="Times New Roman" w:hAnsi="Times New Roman" w:cs="Times New Roman"/>
        </w:rPr>
      </w:pPr>
      <w:r>
        <w:rPr>
          <w:rFonts w:ascii="Times New Roman" w:eastAsia="Times New Roman" w:hAnsi="Times New Roman" w:cs="Times New Roman"/>
        </w:rPr>
        <w:t xml:space="preserve">Collated in the final report version </w:t>
      </w:r>
    </w:p>
    <w:p w14:paraId="45628082" w14:textId="77777777" w:rsidR="007356D6" w:rsidRDefault="007356D6">
      <w:pPr>
        <w:rPr>
          <w:rFonts w:ascii="Times New Roman" w:eastAsia="Times New Roman" w:hAnsi="Times New Roman" w:cs="Times New Roman"/>
        </w:rPr>
      </w:pPr>
    </w:p>
    <w:p w14:paraId="6EE8E134" w14:textId="77777777" w:rsidR="007356D6" w:rsidRDefault="007356D6">
      <w:pPr>
        <w:rPr>
          <w:rFonts w:ascii="Times New Roman" w:eastAsia="Times New Roman" w:hAnsi="Times New Roman" w:cs="Times New Roman"/>
        </w:rPr>
      </w:pPr>
    </w:p>
    <w:p w14:paraId="771469E5" w14:textId="77777777" w:rsidR="007356D6" w:rsidRDefault="007356D6">
      <w:pPr>
        <w:rPr>
          <w:rFonts w:ascii="Times New Roman" w:eastAsia="Times New Roman" w:hAnsi="Times New Roman" w:cs="Times New Roman"/>
        </w:rPr>
      </w:pPr>
    </w:p>
    <w:p w14:paraId="652F6682" w14:textId="77777777" w:rsidR="007356D6" w:rsidRDefault="00D7602D">
      <w:pPr>
        <w:rPr>
          <w:rFonts w:ascii="Times New Roman" w:eastAsia="Times New Roman" w:hAnsi="Times New Roman" w:cs="Times New Roman"/>
        </w:rPr>
      </w:pPr>
      <w:r>
        <w:br w:type="page"/>
      </w:r>
    </w:p>
    <w:p w14:paraId="667C6DDA" w14:textId="77777777" w:rsidR="007356D6" w:rsidRDefault="00D7602D">
      <w:pPr>
        <w:pStyle w:val="Heading2"/>
        <w:rPr>
          <w:rFonts w:ascii="Times New Roman" w:eastAsia="Times New Roman" w:hAnsi="Times New Roman" w:cs="Times New Roman"/>
          <w:b/>
          <w:color w:val="38761D"/>
        </w:rPr>
      </w:pPr>
      <w:bookmarkStart w:id="59" w:name="t29h23thbj6t" w:colFirst="0" w:colLast="0"/>
      <w:bookmarkStart w:id="60" w:name="_3zzx3zbk8xco" w:colFirst="0" w:colLast="0"/>
      <w:bookmarkEnd w:id="59"/>
      <w:bookmarkEnd w:id="60"/>
      <w:r>
        <w:rPr>
          <w:rFonts w:ascii="Times New Roman" w:eastAsia="Times New Roman" w:hAnsi="Times New Roman" w:cs="Times New Roman"/>
          <w:b/>
          <w:color w:val="38761D"/>
        </w:rPr>
        <w:lastRenderedPageBreak/>
        <w:t>Annexes</w:t>
      </w:r>
    </w:p>
    <w:p w14:paraId="4E8F4239" w14:textId="77777777" w:rsidR="007356D6" w:rsidRDefault="007356D6">
      <w:pPr>
        <w:rPr>
          <w:rFonts w:ascii="Times New Roman" w:eastAsia="Times New Roman" w:hAnsi="Times New Roman" w:cs="Times New Roman"/>
          <w:b/>
        </w:rPr>
      </w:pPr>
    </w:p>
    <w:p w14:paraId="68EC727A" w14:textId="77777777" w:rsidR="007356D6" w:rsidRDefault="00D7602D">
      <w:pPr>
        <w:rPr>
          <w:rFonts w:ascii="Times New Roman" w:eastAsia="Times New Roman" w:hAnsi="Times New Roman" w:cs="Times New Roman"/>
        </w:rPr>
      </w:pPr>
      <w:r>
        <w:rPr>
          <w:rFonts w:ascii="Times New Roman" w:eastAsia="Times New Roman" w:hAnsi="Times New Roman" w:cs="Times New Roman"/>
        </w:rPr>
        <w:t>I. PNMA 2024 Work Plan</w:t>
      </w:r>
    </w:p>
    <w:p w14:paraId="51F09021" w14:textId="77777777" w:rsidR="007356D6" w:rsidRDefault="00D7602D">
      <w:pPr>
        <w:rPr>
          <w:rFonts w:ascii="Times New Roman" w:eastAsia="Times New Roman" w:hAnsi="Times New Roman" w:cs="Times New Roman"/>
        </w:rPr>
      </w:pPr>
      <w:r>
        <w:rPr>
          <w:rFonts w:ascii="Times New Roman" w:eastAsia="Times New Roman" w:hAnsi="Times New Roman" w:cs="Times New Roman"/>
        </w:rPr>
        <w:t>II.  PNMA Output Report 2023</w:t>
      </w:r>
    </w:p>
    <w:p w14:paraId="14D62BB7" w14:textId="77777777" w:rsidR="007356D6" w:rsidRDefault="00D7602D">
      <w:pPr>
        <w:rPr>
          <w:rFonts w:ascii="Times New Roman" w:eastAsia="Times New Roman" w:hAnsi="Times New Roman" w:cs="Times New Roman"/>
        </w:rPr>
      </w:pPr>
      <w:r>
        <w:rPr>
          <w:rFonts w:ascii="Times New Roman" w:eastAsia="Times New Roman" w:hAnsi="Times New Roman" w:cs="Times New Roman"/>
        </w:rPr>
        <w:t>III. PNMA Output Report 2022</w:t>
      </w:r>
    </w:p>
    <w:p w14:paraId="7757CA44" w14:textId="77777777" w:rsidR="007356D6" w:rsidRDefault="00D7602D">
      <w:pPr>
        <w:rPr>
          <w:rFonts w:ascii="Times New Roman" w:eastAsia="Times New Roman" w:hAnsi="Times New Roman" w:cs="Times New Roman"/>
        </w:rPr>
      </w:pPr>
      <w:r>
        <w:rPr>
          <w:rFonts w:ascii="Times New Roman" w:eastAsia="Times New Roman" w:hAnsi="Times New Roman" w:cs="Times New Roman"/>
        </w:rPr>
        <w:t>IV. PNMA Repository of Good Practices</w:t>
      </w:r>
    </w:p>
    <w:p w14:paraId="7DF79B25" w14:textId="77777777" w:rsidR="007356D6" w:rsidRDefault="00D7602D">
      <w:pPr>
        <w:rPr>
          <w:rFonts w:ascii="Times New Roman" w:eastAsia="Times New Roman" w:hAnsi="Times New Roman" w:cs="Times New Roman"/>
        </w:rPr>
      </w:pPr>
      <w:r>
        <w:rPr>
          <w:rFonts w:ascii="Times New Roman" w:eastAsia="Times New Roman" w:hAnsi="Times New Roman" w:cs="Times New Roman"/>
        </w:rPr>
        <w:t>V. tbc</w:t>
      </w:r>
    </w:p>
    <w:p w14:paraId="1F07D1CE" w14:textId="77777777" w:rsidR="007356D6" w:rsidRDefault="007356D6">
      <w:pPr>
        <w:rPr>
          <w:rFonts w:ascii="Times New Roman" w:eastAsia="Times New Roman" w:hAnsi="Times New Roman" w:cs="Times New Roman"/>
        </w:rPr>
      </w:pPr>
    </w:p>
    <w:p w14:paraId="0A088CF4" w14:textId="77777777" w:rsidR="007356D6" w:rsidRDefault="007356D6">
      <w:pPr>
        <w:rPr>
          <w:rFonts w:ascii="Times New Roman" w:eastAsia="Times New Roman" w:hAnsi="Times New Roman" w:cs="Times New Roman"/>
        </w:rPr>
      </w:pPr>
    </w:p>
    <w:p w14:paraId="05141A33" w14:textId="77777777" w:rsidR="007356D6" w:rsidRDefault="007356D6">
      <w:pPr>
        <w:rPr>
          <w:rFonts w:ascii="Times New Roman" w:eastAsia="Times New Roman" w:hAnsi="Times New Roman" w:cs="Times New Roman"/>
        </w:rPr>
      </w:pPr>
    </w:p>
    <w:p w14:paraId="6F3DDAC9" w14:textId="77777777" w:rsidR="007356D6" w:rsidRDefault="007356D6">
      <w:pPr>
        <w:rPr>
          <w:rFonts w:ascii="Times New Roman" w:eastAsia="Times New Roman" w:hAnsi="Times New Roman" w:cs="Times New Roman"/>
        </w:rPr>
      </w:pPr>
    </w:p>
    <w:p w14:paraId="32FF3D11" w14:textId="77777777" w:rsidR="007356D6" w:rsidRDefault="007356D6">
      <w:pPr>
        <w:rPr>
          <w:rFonts w:ascii="Times New Roman" w:eastAsia="Times New Roman" w:hAnsi="Times New Roman" w:cs="Times New Roman"/>
        </w:rPr>
      </w:pPr>
    </w:p>
    <w:sectPr w:rsidR="007356D6">
      <w:headerReference w:type="default" r:id="rId70"/>
      <w:footerReference w:type="default" r:id="rId71"/>
      <w:pgSz w:w="11906" w:h="16838"/>
      <w:pgMar w:top="1133" w:right="1133" w:bottom="1133" w:left="1133"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Daphnee Prates Iglesias" w:date="2024-11-05T22:40:00Z" w:initials="">
    <w:p w14:paraId="35D1E2C8" w14:textId="77777777" w:rsidR="007356D6" w:rsidRDefault="00D7602D">
      <w:pPr>
        <w:widowControl w:val="0"/>
        <w:pBdr>
          <w:top w:val="nil"/>
          <w:left w:val="nil"/>
          <w:bottom w:val="nil"/>
          <w:right w:val="nil"/>
          <w:between w:val="nil"/>
        </w:pBdr>
        <w:spacing w:line="240" w:lineRule="auto"/>
        <w:rPr>
          <w:color w:val="000000"/>
        </w:rPr>
      </w:pPr>
      <w:r>
        <w:rPr>
          <w:color w:val="000000"/>
        </w:rPr>
        <w:t>Form and link to add suggestions to be published</w:t>
      </w:r>
    </w:p>
  </w:comment>
  <w:comment w:id="42" w:author="Daphnee Prates Iglesias" w:date="2024-11-05T16:31:00Z" w:initials="">
    <w:p w14:paraId="4FF5E6F3" w14:textId="77777777" w:rsidR="007356D6" w:rsidRDefault="00D7602D">
      <w:pPr>
        <w:widowControl w:val="0"/>
        <w:pBdr>
          <w:top w:val="nil"/>
          <w:left w:val="nil"/>
          <w:bottom w:val="nil"/>
          <w:right w:val="nil"/>
          <w:between w:val="nil"/>
        </w:pBdr>
        <w:spacing w:line="240" w:lineRule="auto"/>
        <w:rPr>
          <w:color w:val="000000"/>
        </w:rPr>
      </w:pPr>
      <w:r>
        <w:rPr>
          <w:color w:val="000000"/>
        </w:rPr>
        <w:t>2/3</w:t>
      </w:r>
    </w:p>
    <w:p w14:paraId="27A9DF61" w14:textId="77777777" w:rsidR="007356D6" w:rsidRDefault="00D7602D">
      <w:pPr>
        <w:widowControl w:val="0"/>
        <w:pBdr>
          <w:top w:val="nil"/>
          <w:left w:val="nil"/>
          <w:bottom w:val="nil"/>
          <w:right w:val="nil"/>
          <w:between w:val="nil"/>
        </w:pBdr>
        <w:spacing w:line="240" w:lineRule="auto"/>
        <w:rPr>
          <w:color w:val="000000"/>
        </w:rPr>
      </w:pPr>
      <w:r>
        <w:rPr>
          <w:color w:val="000000"/>
        </w:rPr>
        <w:t xml:space="preserve">What would be the implementation, monitoring and evaluation mechanisms for the GDC? </w:t>
      </w:r>
    </w:p>
    <w:p w14:paraId="3AEB63AE" w14:textId="77777777" w:rsidR="007356D6" w:rsidRDefault="00D7602D">
      <w:pPr>
        <w:widowControl w:val="0"/>
        <w:pBdr>
          <w:top w:val="nil"/>
          <w:left w:val="nil"/>
          <w:bottom w:val="nil"/>
          <w:right w:val="nil"/>
          <w:between w:val="nil"/>
        </w:pBdr>
        <w:spacing w:line="240" w:lineRule="auto"/>
        <w:rPr>
          <w:color w:val="000000"/>
        </w:rPr>
      </w:pPr>
      <w:r>
        <w:rPr>
          <w:color w:val="000000"/>
        </w:rPr>
        <w:t xml:space="preserve">The implementation of an agreed GDC must be open, transparent and multi-stakeholder in its design and delivery. In terms </w:t>
      </w:r>
      <w:r>
        <w:rPr>
          <w:color w:val="000000"/>
        </w:rPr>
        <w:t>of connectivity specifically, a wide range of stakeholders including civil society, the private sector, the technical community, researchers and academia and governments all have valuable expertise to share when it comes to improving digital connectivity a</w:t>
      </w:r>
      <w:r>
        <w:rPr>
          <w:color w:val="000000"/>
        </w:rPr>
        <w:t>nd delivering meaningful access. As such, all these stakeholders must be included in implementation, monitoring and evaluation of the GDC’s connectivity initiatives. Such a mechanism could take the shape of a multistakeholder working group tasked with each</w:t>
      </w:r>
      <w:r>
        <w:rPr>
          <w:color w:val="000000"/>
        </w:rPr>
        <w:t xml:space="preserve"> of these three tenets, with the IGF serving a coordinating role to convene these groups. </w:t>
      </w:r>
    </w:p>
    <w:p w14:paraId="735BE313" w14:textId="77777777" w:rsidR="007356D6" w:rsidRDefault="007356D6">
      <w:pPr>
        <w:widowControl w:val="0"/>
        <w:pBdr>
          <w:top w:val="nil"/>
          <w:left w:val="nil"/>
          <w:bottom w:val="nil"/>
          <w:right w:val="nil"/>
          <w:between w:val="nil"/>
        </w:pBdr>
        <w:spacing w:line="240" w:lineRule="auto"/>
        <w:rPr>
          <w:color w:val="000000"/>
        </w:rPr>
      </w:pPr>
    </w:p>
    <w:p w14:paraId="27233A14" w14:textId="77777777" w:rsidR="007356D6" w:rsidRDefault="00D7602D">
      <w:pPr>
        <w:widowControl w:val="0"/>
        <w:pBdr>
          <w:top w:val="nil"/>
          <w:left w:val="nil"/>
          <w:bottom w:val="nil"/>
          <w:right w:val="nil"/>
          <w:between w:val="nil"/>
        </w:pBdr>
        <w:spacing w:line="240" w:lineRule="auto"/>
        <w:rPr>
          <w:color w:val="000000"/>
        </w:rPr>
      </w:pPr>
      <w:r>
        <w:rPr>
          <w:color w:val="000000"/>
        </w:rPr>
        <w:t xml:space="preserve">How can member states ensure all stakeholders have the necessary buy-in on the GDC? </w:t>
      </w:r>
    </w:p>
    <w:p w14:paraId="0D77D395" w14:textId="77777777" w:rsidR="007356D6" w:rsidRDefault="00D7602D">
      <w:pPr>
        <w:widowControl w:val="0"/>
        <w:pBdr>
          <w:top w:val="nil"/>
          <w:left w:val="nil"/>
          <w:bottom w:val="nil"/>
          <w:right w:val="nil"/>
          <w:between w:val="nil"/>
        </w:pBdr>
        <w:spacing w:line="240" w:lineRule="auto"/>
        <w:rPr>
          <w:color w:val="000000"/>
        </w:rPr>
      </w:pPr>
      <w:r>
        <w:rPr>
          <w:color w:val="000000"/>
        </w:rPr>
        <w:t>Member states should ensure they raise awareness of opportunities to contribute to the GDC (for example, the deep dive sessions earlier this year) so that members of the multistakeholder community are aware of opportunities to participate. This could be at</w:t>
      </w:r>
      <w:r>
        <w:rPr>
          <w:color w:val="000000"/>
        </w:rPr>
        <w:t xml:space="preserve"> national or regional IGFs, or through other outreach, such as the UK’s Multistakeholder Advisory Group on Internet Governance. However, governments must also proactively engage with the multistakeholder community on the GDC. This should include attending </w:t>
      </w:r>
      <w:r>
        <w:rPr>
          <w:color w:val="000000"/>
        </w:rPr>
        <w:t>the annual UN IGF to understand what the multistakeholder community wants to see out of the GDC, including on meaningful access, and delivering consultations on GDC proposals within their own countries, to gather a wide range of views on the Compact propos</w:t>
      </w:r>
      <w:r>
        <w:rPr>
          <w:color w:val="000000"/>
        </w:rPr>
        <w:t>als (including the proposals in the Secretary General’s Policy Brief). In this vein, the GDC should recognise in particular the role of the private sector and the technical community in the future of digital innovation.</w:t>
      </w:r>
    </w:p>
  </w:comment>
  <w:comment w:id="43" w:author="Daphnee Prates Iglesias" w:date="2024-11-05T16:32:00Z" w:initials="">
    <w:p w14:paraId="48FCA517" w14:textId="77777777" w:rsidR="007356D6" w:rsidRDefault="00D7602D">
      <w:pPr>
        <w:widowControl w:val="0"/>
        <w:pBdr>
          <w:top w:val="nil"/>
          <w:left w:val="nil"/>
          <w:bottom w:val="nil"/>
          <w:right w:val="nil"/>
          <w:between w:val="nil"/>
        </w:pBdr>
        <w:spacing w:line="240" w:lineRule="auto"/>
        <w:rPr>
          <w:color w:val="000000"/>
        </w:rPr>
      </w:pPr>
      <w:r>
        <w:rPr>
          <w:color w:val="000000"/>
        </w:rPr>
        <w:t>3</w:t>
      </w:r>
    </w:p>
    <w:p w14:paraId="1F563268" w14:textId="77777777" w:rsidR="007356D6" w:rsidRDefault="00D7602D">
      <w:pPr>
        <w:widowControl w:val="0"/>
        <w:pBdr>
          <w:top w:val="nil"/>
          <w:left w:val="nil"/>
          <w:bottom w:val="nil"/>
          <w:right w:val="nil"/>
          <w:between w:val="nil"/>
        </w:pBdr>
        <w:spacing w:line="240" w:lineRule="auto"/>
        <w:rPr>
          <w:color w:val="000000"/>
        </w:rPr>
      </w:pPr>
      <w:r>
        <w:rPr>
          <w:color w:val="000000"/>
        </w:rPr>
        <w:t xml:space="preserve">Based on the current direction and taking into account relevant debates suggested over the course of the process and in the recent SG Briefing papers, what should we expect to see in the outcome content-wise?” </w:t>
      </w:r>
    </w:p>
    <w:p w14:paraId="48D88B75" w14:textId="77777777" w:rsidR="007356D6" w:rsidRDefault="00D7602D">
      <w:pPr>
        <w:widowControl w:val="0"/>
        <w:pBdr>
          <w:top w:val="nil"/>
          <w:left w:val="nil"/>
          <w:bottom w:val="nil"/>
          <w:right w:val="nil"/>
          <w:between w:val="nil"/>
        </w:pBdr>
        <w:spacing w:line="240" w:lineRule="auto"/>
        <w:rPr>
          <w:color w:val="000000"/>
        </w:rPr>
      </w:pPr>
      <w:r>
        <w:rPr>
          <w:color w:val="000000"/>
        </w:rPr>
        <w:t>The GDC is an opportunity to deliver a positi</w:t>
      </w:r>
      <w:r>
        <w:rPr>
          <w:color w:val="000000"/>
        </w:rPr>
        <w:t>ve agenda on development and the outcome must focus on meaningful access. The GDC should embed the critical role of digital development in the SDGs and be an input into the review of the SDGs. It should not just be an initiative focused on mitigating risks</w:t>
      </w:r>
      <w:r>
        <w:rPr>
          <w:color w:val="000000"/>
        </w:rPr>
        <w:t xml:space="preserve"> posed by technologies, but also one which promotes the huge potential for social and economic development that digital technologies bring to people and communities across the world. </w:t>
      </w:r>
    </w:p>
    <w:p w14:paraId="366AF2E1" w14:textId="77777777" w:rsidR="007356D6" w:rsidRDefault="007356D6">
      <w:pPr>
        <w:widowControl w:val="0"/>
        <w:pBdr>
          <w:top w:val="nil"/>
          <w:left w:val="nil"/>
          <w:bottom w:val="nil"/>
          <w:right w:val="nil"/>
          <w:between w:val="nil"/>
        </w:pBdr>
        <w:spacing w:line="240" w:lineRule="auto"/>
        <w:rPr>
          <w:color w:val="000000"/>
        </w:rPr>
      </w:pPr>
    </w:p>
    <w:p w14:paraId="3FF46061" w14:textId="77777777" w:rsidR="007356D6" w:rsidRDefault="00D7602D">
      <w:pPr>
        <w:widowControl w:val="0"/>
        <w:pBdr>
          <w:top w:val="nil"/>
          <w:left w:val="nil"/>
          <w:bottom w:val="nil"/>
          <w:right w:val="nil"/>
          <w:between w:val="nil"/>
        </w:pBdr>
        <w:spacing w:line="240" w:lineRule="auto"/>
        <w:rPr>
          <w:color w:val="000000"/>
        </w:rPr>
      </w:pPr>
      <w:r>
        <w:rPr>
          <w:color w:val="000000"/>
        </w:rPr>
        <w:t>Explore what role the IGF can play to further include voices of the mul</w:t>
      </w:r>
      <w:r>
        <w:rPr>
          <w:color w:val="000000"/>
        </w:rPr>
        <w:t>tistakeholder community, e.g as a facilitator or sounding board for the GDC process?</w:t>
      </w:r>
    </w:p>
    <w:p w14:paraId="1D223D63" w14:textId="77777777" w:rsidR="007356D6" w:rsidRDefault="00D7602D">
      <w:pPr>
        <w:widowControl w:val="0"/>
        <w:pBdr>
          <w:top w:val="nil"/>
          <w:left w:val="nil"/>
          <w:bottom w:val="nil"/>
          <w:right w:val="nil"/>
          <w:between w:val="nil"/>
        </w:pBdr>
        <w:spacing w:line="240" w:lineRule="auto"/>
        <w:rPr>
          <w:color w:val="000000"/>
        </w:rPr>
      </w:pPr>
      <w:r>
        <w:rPr>
          <w:color w:val="000000"/>
        </w:rPr>
        <w:t>The IGF can play a crucial role in empowering stakeholders, including stakeholders from the private sector, civil society, academia and the technical community, to contrib</w:t>
      </w:r>
      <w:r>
        <w:rPr>
          <w:color w:val="000000"/>
        </w:rPr>
        <w:t>ute, including by feeding back messages on meaningful access that emerge at the 2023 IGF. The IGF’s sounding board proposal should be implemented to ensure the multistakeholder community has a meaningful opportunity to shape the Compact, including by drawi</w:t>
      </w:r>
      <w:r>
        <w:rPr>
          <w:color w:val="000000"/>
        </w:rPr>
        <w:t xml:space="preserve">ng on expertise from private businesses and local communities on what is needed to deliver meaningful access. </w:t>
      </w:r>
    </w:p>
    <w:p w14:paraId="4599B1C4" w14:textId="77777777" w:rsidR="007356D6" w:rsidRDefault="007356D6">
      <w:pPr>
        <w:widowControl w:val="0"/>
        <w:pBdr>
          <w:top w:val="nil"/>
          <w:left w:val="nil"/>
          <w:bottom w:val="nil"/>
          <w:right w:val="nil"/>
          <w:between w:val="nil"/>
        </w:pBdr>
        <w:spacing w:line="240" w:lineRule="auto"/>
        <w:rPr>
          <w:color w:val="000000"/>
        </w:rPr>
      </w:pPr>
    </w:p>
    <w:p w14:paraId="34458BE3" w14:textId="77777777" w:rsidR="007356D6" w:rsidRDefault="00D7602D">
      <w:pPr>
        <w:widowControl w:val="0"/>
        <w:pBdr>
          <w:top w:val="nil"/>
          <w:left w:val="nil"/>
          <w:bottom w:val="nil"/>
          <w:right w:val="nil"/>
          <w:between w:val="nil"/>
        </w:pBdr>
        <w:spacing w:line="240" w:lineRule="auto"/>
        <w:rPr>
          <w:color w:val="000000"/>
        </w:rPr>
      </w:pPr>
      <w:r>
        <w:rPr>
          <w:color w:val="000000"/>
        </w:rPr>
        <w:t>What does GDC mean to those marginalised and excluded communities? What new innovative modes of interventions will it bring. How can Women and the youth from developing countries be facilitated to effectively and efficiently plug in to GDC for their improv</w:t>
      </w:r>
      <w:r>
        <w:rPr>
          <w:color w:val="000000"/>
        </w:rPr>
        <w:t>ed livelihoods in a digitally innovative way?</w:t>
      </w:r>
    </w:p>
  </w:comment>
  <w:comment w:id="44" w:author="Daphnee Prates Iglesias" w:date="2024-11-05T16:26:00Z" w:initials="">
    <w:p w14:paraId="6B145B94" w14:textId="77777777" w:rsidR="007356D6" w:rsidRDefault="00D7602D">
      <w:pPr>
        <w:widowControl w:val="0"/>
        <w:pBdr>
          <w:top w:val="nil"/>
          <w:left w:val="nil"/>
          <w:bottom w:val="nil"/>
          <w:right w:val="nil"/>
          <w:between w:val="nil"/>
        </w:pBdr>
        <w:spacing w:line="240" w:lineRule="auto"/>
        <w:rPr>
          <w:color w:val="000000"/>
        </w:rPr>
      </w:pPr>
      <w:r>
        <w:rPr>
          <w:color w:val="000000"/>
        </w:rPr>
        <w:t>Ex - message given in 2023 report was ellaborated based these raw answers (1/3)</w:t>
      </w:r>
    </w:p>
    <w:p w14:paraId="070A2DFC" w14:textId="77777777" w:rsidR="007356D6" w:rsidRDefault="00D7602D">
      <w:pPr>
        <w:widowControl w:val="0"/>
        <w:pBdr>
          <w:top w:val="nil"/>
          <w:left w:val="nil"/>
          <w:bottom w:val="nil"/>
          <w:right w:val="nil"/>
          <w:between w:val="nil"/>
        </w:pBdr>
        <w:spacing w:line="240" w:lineRule="auto"/>
        <w:rPr>
          <w:color w:val="000000"/>
        </w:rPr>
      </w:pPr>
      <w:r>
        <w:rPr>
          <w:color w:val="000000"/>
        </w:rPr>
        <w:t xml:space="preserve">"These are the guiding questions the Secretariat has come up with to start planning the </w:t>
      </w:r>
      <w:r>
        <w:rPr>
          <w:color w:val="000000"/>
        </w:rPr>
        <w:t>IGF Main Session on GDC, pasting them here as they might assist you:</w:t>
      </w:r>
    </w:p>
    <w:p w14:paraId="2C92E1B5" w14:textId="77777777" w:rsidR="007356D6" w:rsidRDefault="007356D6">
      <w:pPr>
        <w:widowControl w:val="0"/>
        <w:pBdr>
          <w:top w:val="nil"/>
          <w:left w:val="nil"/>
          <w:bottom w:val="nil"/>
          <w:right w:val="nil"/>
          <w:between w:val="nil"/>
        </w:pBdr>
        <w:spacing w:line="240" w:lineRule="auto"/>
        <w:rPr>
          <w:color w:val="000000"/>
        </w:rPr>
      </w:pPr>
    </w:p>
    <w:p w14:paraId="19E9A955" w14:textId="77777777" w:rsidR="007356D6" w:rsidRDefault="00D7602D">
      <w:pPr>
        <w:widowControl w:val="0"/>
        <w:pBdr>
          <w:top w:val="nil"/>
          <w:left w:val="nil"/>
          <w:bottom w:val="nil"/>
          <w:right w:val="nil"/>
          <w:between w:val="nil"/>
        </w:pBdr>
        <w:spacing w:line="240" w:lineRule="auto"/>
        <w:rPr>
          <w:color w:val="000000"/>
        </w:rPr>
      </w:pPr>
      <w:r>
        <w:rPr>
          <w:color w:val="000000"/>
        </w:rPr>
        <w:t>“... the main goal is to consider the potential impact of the Summit of the Future on the broader Internet and global digital governance discourses.</w:t>
      </w:r>
    </w:p>
    <w:p w14:paraId="3411EDC8" w14:textId="77777777" w:rsidR="007356D6" w:rsidRDefault="007356D6">
      <w:pPr>
        <w:widowControl w:val="0"/>
        <w:pBdr>
          <w:top w:val="nil"/>
          <w:left w:val="nil"/>
          <w:bottom w:val="nil"/>
          <w:right w:val="nil"/>
          <w:between w:val="nil"/>
        </w:pBdr>
        <w:spacing w:line="240" w:lineRule="auto"/>
        <w:rPr>
          <w:color w:val="000000"/>
        </w:rPr>
      </w:pPr>
    </w:p>
    <w:p w14:paraId="2EDBEB92" w14:textId="77777777" w:rsidR="007356D6" w:rsidRDefault="00D7602D">
      <w:pPr>
        <w:widowControl w:val="0"/>
        <w:pBdr>
          <w:top w:val="nil"/>
          <w:left w:val="nil"/>
          <w:bottom w:val="nil"/>
          <w:right w:val="nil"/>
          <w:between w:val="nil"/>
        </w:pBdr>
        <w:spacing w:line="240" w:lineRule="auto"/>
        <w:rPr>
          <w:color w:val="000000"/>
        </w:rPr>
      </w:pPr>
      <w:r>
        <w:rPr>
          <w:color w:val="000000"/>
        </w:rPr>
        <w:t>How to improve mechanisms for stakeh</w:t>
      </w:r>
      <w:r>
        <w:rPr>
          <w:color w:val="000000"/>
        </w:rPr>
        <w:t>older input and feedback for continued timely and meaningful contribution to the GDC?</w:t>
      </w:r>
    </w:p>
    <w:p w14:paraId="45E918AE" w14:textId="77777777" w:rsidR="007356D6" w:rsidRDefault="00D7602D">
      <w:pPr>
        <w:widowControl w:val="0"/>
        <w:pBdr>
          <w:top w:val="nil"/>
          <w:left w:val="nil"/>
          <w:bottom w:val="nil"/>
          <w:right w:val="nil"/>
          <w:between w:val="nil"/>
        </w:pBdr>
        <w:spacing w:line="240" w:lineRule="auto"/>
        <w:rPr>
          <w:color w:val="000000"/>
        </w:rPr>
      </w:pPr>
      <w:r>
        <w:rPr>
          <w:color w:val="000000"/>
        </w:rPr>
        <w:t>What would be the implementation, monitoring and evaluation mechanisms for the GDC?</w:t>
      </w:r>
    </w:p>
    <w:p w14:paraId="1A64A07B" w14:textId="77777777" w:rsidR="007356D6" w:rsidRDefault="00D7602D">
      <w:pPr>
        <w:widowControl w:val="0"/>
        <w:pBdr>
          <w:top w:val="nil"/>
          <w:left w:val="nil"/>
          <w:bottom w:val="nil"/>
          <w:right w:val="nil"/>
          <w:between w:val="nil"/>
        </w:pBdr>
        <w:spacing w:line="240" w:lineRule="auto"/>
        <w:rPr>
          <w:color w:val="000000"/>
        </w:rPr>
      </w:pPr>
      <w:r>
        <w:rPr>
          <w:color w:val="000000"/>
        </w:rPr>
        <w:t>How can member states ensure all stakeholders have the necessary buy-in on the GDC?</w:t>
      </w:r>
    </w:p>
    <w:p w14:paraId="216D5D49" w14:textId="77777777" w:rsidR="007356D6" w:rsidRDefault="00D7602D">
      <w:pPr>
        <w:widowControl w:val="0"/>
        <w:pBdr>
          <w:top w:val="nil"/>
          <w:left w:val="nil"/>
          <w:bottom w:val="nil"/>
          <w:right w:val="nil"/>
          <w:between w:val="nil"/>
        </w:pBdr>
        <w:spacing w:line="240" w:lineRule="auto"/>
        <w:rPr>
          <w:color w:val="000000"/>
        </w:rPr>
      </w:pPr>
      <w:r>
        <w:rPr>
          <w:color w:val="000000"/>
        </w:rPr>
        <w:t>Ex</w:t>
      </w:r>
      <w:r>
        <w:rPr>
          <w:color w:val="000000"/>
        </w:rPr>
        <w:t>plore what role the IGF can play to further include voices of the multistakeholder community, e.g as a facilitator or sounding board for the GDC process?</w:t>
      </w:r>
    </w:p>
    <w:p w14:paraId="7BA081BF" w14:textId="77777777" w:rsidR="007356D6" w:rsidRDefault="00D7602D">
      <w:pPr>
        <w:widowControl w:val="0"/>
        <w:pBdr>
          <w:top w:val="nil"/>
          <w:left w:val="nil"/>
          <w:bottom w:val="nil"/>
          <w:right w:val="nil"/>
          <w:between w:val="nil"/>
        </w:pBdr>
        <w:spacing w:line="240" w:lineRule="auto"/>
        <w:rPr>
          <w:color w:val="000000"/>
        </w:rPr>
      </w:pPr>
      <w:r>
        <w:rPr>
          <w:color w:val="000000"/>
        </w:rPr>
        <w:t>Based on the current direction and taking into account relevant debates suggested over the course of t</w:t>
      </w:r>
      <w:r>
        <w:rPr>
          <w:color w:val="000000"/>
        </w:rPr>
        <w:t>he process and in the recent SG Briefing papers, what should we expect to see in the outcome content-wise?”</w:t>
      </w:r>
    </w:p>
  </w:comment>
  <w:comment w:id="41" w:author="Daphnee Prates Iglesias" w:date="2024-11-05T22:41:00Z" w:initials="">
    <w:p w14:paraId="579E807C" w14:textId="77777777" w:rsidR="007356D6" w:rsidRDefault="00D7602D">
      <w:pPr>
        <w:widowControl w:val="0"/>
        <w:pBdr>
          <w:top w:val="nil"/>
          <w:left w:val="nil"/>
          <w:bottom w:val="nil"/>
          <w:right w:val="nil"/>
          <w:between w:val="nil"/>
        </w:pBdr>
        <w:spacing w:line="240" w:lineRule="auto"/>
        <w:rPr>
          <w:color w:val="000000"/>
        </w:rPr>
      </w:pPr>
      <w:r>
        <w:rPr>
          <w:color w:val="000000"/>
        </w:rPr>
        <w:t xml:space="preserve">Please indicate whether the section </w:t>
      </w:r>
      <w:r>
        <w:rPr>
          <w:color w:val="000000"/>
        </w:rPr>
        <w:t>on GDC should remain here or move to Section 3 - The Public Debate on Meaningful Access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D1E2C8" w15:done="0"/>
  <w15:commentEx w15:paraId="0D77D395" w15:done="0"/>
  <w15:commentEx w15:paraId="34458BE3" w15:done="0"/>
  <w15:commentEx w15:paraId="7BA081BF" w15:done="0"/>
  <w15:commentEx w15:paraId="579E807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555B4" w14:textId="77777777" w:rsidR="00D7602D" w:rsidRDefault="00D7602D">
      <w:pPr>
        <w:spacing w:line="240" w:lineRule="auto"/>
      </w:pPr>
      <w:r>
        <w:separator/>
      </w:r>
    </w:p>
  </w:endnote>
  <w:endnote w:type="continuationSeparator" w:id="0">
    <w:p w14:paraId="6EA78E99" w14:textId="77777777" w:rsidR="00D7602D" w:rsidRDefault="00D76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5E2E2" w14:textId="77777777" w:rsidR="007356D6" w:rsidRDefault="00D7602D">
    <w:pPr>
      <w:jc w:val="right"/>
    </w:pPr>
    <w:r>
      <w:fldChar w:fldCharType="begin"/>
    </w:r>
    <w:r>
      <w:instrText>PAGE</w:instrText>
    </w:r>
    <w:r w:rsidR="00BB0B18">
      <w:fldChar w:fldCharType="separate"/>
    </w:r>
    <w:r w:rsidR="00BB0B18">
      <w:rPr>
        <w:noProof/>
      </w:rPr>
      <w:t>5</w:t>
    </w:r>
    <w:r>
      <w:fldChar w:fldCharType="end"/>
    </w:r>
    <w:r>
      <w:t>/</w:t>
    </w:r>
    <w:r>
      <w:fldChar w:fldCharType="begin"/>
    </w:r>
    <w:r>
      <w:instrText>NUMPAGES</w:instrText>
    </w:r>
    <w:r w:rsidR="00BB0B18">
      <w:fldChar w:fldCharType="separate"/>
    </w:r>
    <w:r w:rsidR="00BB0B18">
      <w:rPr>
        <w:noProof/>
      </w:rPr>
      <w:t>111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72D74" w14:textId="77777777" w:rsidR="00D7602D" w:rsidRDefault="00D7602D">
      <w:pPr>
        <w:spacing w:line="240" w:lineRule="auto"/>
      </w:pPr>
      <w:r>
        <w:separator/>
      </w:r>
    </w:p>
  </w:footnote>
  <w:footnote w:type="continuationSeparator" w:id="0">
    <w:p w14:paraId="4808E42B" w14:textId="77777777" w:rsidR="00D7602D" w:rsidRDefault="00D7602D">
      <w:pPr>
        <w:spacing w:line="240" w:lineRule="auto"/>
      </w:pPr>
      <w:r>
        <w:continuationSeparator/>
      </w:r>
    </w:p>
  </w:footnote>
  <w:footnote w:id="1">
    <w:p w14:paraId="1A9EE534" w14:textId="77777777" w:rsidR="007356D6" w:rsidRDefault="00D7602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The </w:t>
      </w:r>
      <w:hyperlink r:id="rId1">
        <w:r>
          <w:rPr>
            <w:rFonts w:ascii="Times New Roman" w:eastAsia="Times New Roman" w:hAnsi="Times New Roman" w:cs="Times New Roman"/>
            <w:color w:val="1155CC"/>
            <w:sz w:val="18"/>
            <w:szCs w:val="18"/>
            <w:u w:val="single"/>
          </w:rPr>
          <w:t>resolution adopted by the UN General Assembly on 16 December 2015 (70/125)</w:t>
        </w:r>
      </w:hyperlink>
      <w:r>
        <w:rPr>
          <w:rFonts w:ascii="Times New Roman" w:eastAsia="Times New Roman" w:hAnsi="Times New Roman" w:cs="Times New Roman"/>
          <w:sz w:val="18"/>
          <w:szCs w:val="18"/>
        </w:rPr>
        <w:t xml:space="preserve">, “Outcome document of the high-level meeting of the General Assembly on the overall review of </w:t>
      </w:r>
      <w:r>
        <w:rPr>
          <w:rFonts w:ascii="Times New Roman" w:eastAsia="Times New Roman" w:hAnsi="Times New Roman" w:cs="Times New Roman"/>
          <w:sz w:val="18"/>
          <w:szCs w:val="18"/>
        </w:rPr>
        <w:t>the implementation of the outcomes of the World Summit on the Information Society”, extended the mandate of the IGF as set out in paragraphs 72 to 78 of the Tunis Agenda.</w:t>
      </w:r>
    </w:p>
  </w:footnote>
  <w:footnote w:id="2">
    <w:p w14:paraId="5CCBBA74" w14:textId="77777777" w:rsidR="007356D6" w:rsidRDefault="00D7602D">
      <w:pPr>
        <w:spacing w:line="240" w:lineRule="auto"/>
        <w:jc w:val="both"/>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IGF website: </w:t>
      </w:r>
      <w:hyperlink r:id="rId2">
        <w:r>
          <w:rPr>
            <w:rFonts w:ascii="Times New Roman" w:eastAsia="Times New Roman" w:hAnsi="Times New Roman" w:cs="Times New Roman"/>
            <w:color w:val="1155CC"/>
            <w:sz w:val="18"/>
            <w:szCs w:val="18"/>
            <w:u w:val="single"/>
          </w:rPr>
          <w:t>http://www.intgovforum.org</w:t>
        </w:r>
      </w:hyperlink>
      <w:r>
        <w:rPr>
          <w:rFonts w:ascii="Times New Roman" w:eastAsia="Times New Roman" w:hAnsi="Times New Roman" w:cs="Times New Roman"/>
          <w:sz w:val="18"/>
          <w:szCs w:val="18"/>
        </w:rPr>
        <w:t>. The IGF is one of the key outcomes of the World Summit for the Information Society (WSIS).</w:t>
      </w:r>
    </w:p>
  </w:footnote>
  <w:footnote w:id="3">
    <w:p w14:paraId="0EBCE7AF" w14:textId="77777777" w:rsidR="007356D6" w:rsidRDefault="00D7602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3">
        <w:r>
          <w:rPr>
            <w:rFonts w:ascii="Times New Roman" w:eastAsia="Times New Roman" w:hAnsi="Times New Roman" w:cs="Times New Roman"/>
            <w:color w:val="1155CC"/>
            <w:sz w:val="20"/>
            <w:szCs w:val="20"/>
            <w:u w:val="single"/>
          </w:rPr>
          <w:t xml:space="preserve"> Statement of IGF 2021 PNMA Multistakeholder Working Group</w:t>
        </w:r>
      </w:hyperlink>
      <w:r>
        <w:rPr>
          <w:rFonts w:ascii="Times New Roman" w:eastAsia="Times New Roman" w:hAnsi="Times New Roman" w:cs="Times New Roman"/>
          <w:sz w:val="20"/>
          <w:szCs w:val="20"/>
        </w:rPr>
        <w:t>.</w:t>
      </w:r>
    </w:p>
  </w:footnote>
  <w:footnote w:id="4">
    <w:p w14:paraId="0010DB80" w14:textId="77777777" w:rsidR="007356D6" w:rsidRDefault="00D7602D">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hyperlink r:id="rId4">
        <w:r>
          <w:rPr>
            <w:rFonts w:ascii="Times New Roman" w:eastAsia="Times New Roman" w:hAnsi="Times New Roman" w:cs="Times New Roman"/>
            <w:color w:val="1155CC"/>
            <w:sz w:val="18"/>
            <w:szCs w:val="18"/>
            <w:u w:val="single"/>
          </w:rPr>
          <w:t>IGF 2021 Report</w:t>
        </w:r>
      </w:hyperlink>
      <w:r>
        <w:rPr>
          <w:rFonts w:ascii="Times New Roman" w:eastAsia="Times New Roman" w:hAnsi="Times New Roman" w:cs="Times New Roman"/>
          <w:sz w:val="18"/>
          <w:szCs w:val="18"/>
        </w:rPr>
        <w:t>, p 45</w:t>
      </w:r>
      <w:r>
        <w:rPr>
          <w:rFonts w:ascii="Times New Roman" w:eastAsia="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04C4" w14:textId="77777777" w:rsidR="007356D6" w:rsidRDefault="00D7602D">
    <w:pPr>
      <w:jc w:val="right"/>
    </w:pPr>
    <w:r>
      <w:rPr>
        <w:noProof/>
      </w:rPr>
      <w:drawing>
        <wp:inline distT="19050" distB="19050" distL="19050" distR="19050" wp14:anchorId="6852B22C" wp14:editId="478A2AF5">
          <wp:extent cx="1838946" cy="395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38946" cy="3952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794"/>
    <w:multiLevelType w:val="multilevel"/>
    <w:tmpl w:val="177AF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8F6744"/>
    <w:multiLevelType w:val="multilevel"/>
    <w:tmpl w:val="F0161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033270"/>
    <w:multiLevelType w:val="multilevel"/>
    <w:tmpl w:val="5E764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5A4022"/>
    <w:multiLevelType w:val="multilevel"/>
    <w:tmpl w:val="110E9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DE1980"/>
    <w:multiLevelType w:val="multilevel"/>
    <w:tmpl w:val="F1C2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53519D"/>
    <w:multiLevelType w:val="multilevel"/>
    <w:tmpl w:val="828CC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986B6E"/>
    <w:multiLevelType w:val="multilevel"/>
    <w:tmpl w:val="3BA81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794C92"/>
    <w:multiLevelType w:val="multilevel"/>
    <w:tmpl w:val="A53ED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2C0560"/>
    <w:multiLevelType w:val="multilevel"/>
    <w:tmpl w:val="E0BE9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7C6DCE"/>
    <w:multiLevelType w:val="multilevel"/>
    <w:tmpl w:val="7D383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F85948"/>
    <w:multiLevelType w:val="multilevel"/>
    <w:tmpl w:val="C5746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AC450E"/>
    <w:multiLevelType w:val="multilevel"/>
    <w:tmpl w:val="D6DC3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F36FC1"/>
    <w:multiLevelType w:val="multilevel"/>
    <w:tmpl w:val="2EF6D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025765"/>
    <w:multiLevelType w:val="multilevel"/>
    <w:tmpl w:val="FE128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E0D1810"/>
    <w:multiLevelType w:val="multilevel"/>
    <w:tmpl w:val="AC46800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F250502"/>
    <w:multiLevelType w:val="multilevel"/>
    <w:tmpl w:val="8C38D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701F8C"/>
    <w:multiLevelType w:val="multilevel"/>
    <w:tmpl w:val="F5D45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10C7E9E"/>
    <w:multiLevelType w:val="multilevel"/>
    <w:tmpl w:val="76FC383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1853692"/>
    <w:multiLevelType w:val="multilevel"/>
    <w:tmpl w:val="9A287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3814669"/>
    <w:multiLevelType w:val="multilevel"/>
    <w:tmpl w:val="F80A3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323FAC"/>
    <w:multiLevelType w:val="multilevel"/>
    <w:tmpl w:val="B07E8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6C8115F"/>
    <w:multiLevelType w:val="multilevel"/>
    <w:tmpl w:val="47CEFB6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B382D73"/>
    <w:multiLevelType w:val="multilevel"/>
    <w:tmpl w:val="7ED29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FE21B36"/>
    <w:multiLevelType w:val="multilevel"/>
    <w:tmpl w:val="25185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336972A6"/>
    <w:multiLevelType w:val="multilevel"/>
    <w:tmpl w:val="3550B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4166279"/>
    <w:multiLevelType w:val="multilevel"/>
    <w:tmpl w:val="FCE45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4420777"/>
    <w:multiLevelType w:val="multilevel"/>
    <w:tmpl w:val="0DC6A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8416748"/>
    <w:multiLevelType w:val="multilevel"/>
    <w:tmpl w:val="E75C4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035FF5"/>
    <w:multiLevelType w:val="multilevel"/>
    <w:tmpl w:val="16480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EE630B6"/>
    <w:multiLevelType w:val="multilevel"/>
    <w:tmpl w:val="C9823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1F64CB5"/>
    <w:multiLevelType w:val="multilevel"/>
    <w:tmpl w:val="221E5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27B349E"/>
    <w:multiLevelType w:val="multilevel"/>
    <w:tmpl w:val="AD4E0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42514BF"/>
    <w:multiLevelType w:val="multilevel"/>
    <w:tmpl w:val="4BAA2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50D4672"/>
    <w:multiLevelType w:val="multilevel"/>
    <w:tmpl w:val="82822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6AA1CEB"/>
    <w:multiLevelType w:val="multilevel"/>
    <w:tmpl w:val="3E6E9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7A415F9"/>
    <w:multiLevelType w:val="multilevel"/>
    <w:tmpl w:val="41D4B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8911B57"/>
    <w:multiLevelType w:val="multilevel"/>
    <w:tmpl w:val="213C5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93121F8"/>
    <w:multiLevelType w:val="multilevel"/>
    <w:tmpl w:val="D3FE6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9337EF3"/>
    <w:multiLevelType w:val="multilevel"/>
    <w:tmpl w:val="0B3EA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A347D40"/>
    <w:multiLevelType w:val="multilevel"/>
    <w:tmpl w:val="B944E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A4F7CA5"/>
    <w:multiLevelType w:val="multilevel"/>
    <w:tmpl w:val="3AB82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AF97B95"/>
    <w:multiLevelType w:val="multilevel"/>
    <w:tmpl w:val="8AF69D6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4DAC1189"/>
    <w:multiLevelType w:val="multilevel"/>
    <w:tmpl w:val="B89E3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E317D02"/>
    <w:multiLevelType w:val="multilevel"/>
    <w:tmpl w:val="02CA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09944B9"/>
    <w:multiLevelType w:val="multilevel"/>
    <w:tmpl w:val="3CDAE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1C82F48"/>
    <w:multiLevelType w:val="multilevel"/>
    <w:tmpl w:val="24DC8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3386157"/>
    <w:multiLevelType w:val="multilevel"/>
    <w:tmpl w:val="455E7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4CB31E2"/>
    <w:multiLevelType w:val="multilevel"/>
    <w:tmpl w:val="C03A1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6331F22"/>
    <w:multiLevelType w:val="multilevel"/>
    <w:tmpl w:val="18C46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6A37253"/>
    <w:multiLevelType w:val="multilevel"/>
    <w:tmpl w:val="46823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94B53E3"/>
    <w:multiLevelType w:val="multilevel"/>
    <w:tmpl w:val="CB563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DC068F6"/>
    <w:multiLevelType w:val="multilevel"/>
    <w:tmpl w:val="C28C2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00A3AB0"/>
    <w:multiLevelType w:val="multilevel"/>
    <w:tmpl w:val="69F67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4D45300"/>
    <w:multiLevelType w:val="multilevel"/>
    <w:tmpl w:val="FC726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59C64FF"/>
    <w:multiLevelType w:val="multilevel"/>
    <w:tmpl w:val="929AA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61200FE"/>
    <w:multiLevelType w:val="multilevel"/>
    <w:tmpl w:val="5CBC16F4"/>
    <w:lvl w:ilvl="0">
      <w:start w:val="1"/>
      <w:numFmt w:val="decimal"/>
      <w:lvlText w:val="%1."/>
      <w:lvlJc w:val="right"/>
      <w:pPr>
        <w:ind w:left="720" w:hanging="360"/>
      </w:pPr>
      <w:rPr>
        <w:rFonts w:ascii="Arial" w:eastAsia="Arial" w:hAnsi="Arial" w:cs="Arial"/>
        <w:b/>
        <w:color w:val="38761D"/>
        <w:u w:val="none"/>
      </w:rPr>
    </w:lvl>
    <w:lvl w:ilvl="1">
      <w:start w:val="1"/>
      <w:numFmt w:val="decimal"/>
      <w:lvlText w:val="%1.%2."/>
      <w:lvlJc w:val="right"/>
      <w:pPr>
        <w:ind w:left="1440" w:hanging="360"/>
      </w:pPr>
      <w:rPr>
        <w:rFonts w:ascii="Times New Roman" w:eastAsia="Times New Roman" w:hAnsi="Times New Roman" w:cs="Times New Roman"/>
        <w:b w:val="0"/>
        <w:color w:val="38761D"/>
        <w:sz w:val="28"/>
        <w:szCs w:val="28"/>
        <w:u w:val="none"/>
      </w:rPr>
    </w:lvl>
    <w:lvl w:ilvl="2">
      <w:start w:val="1"/>
      <w:numFmt w:val="decimal"/>
      <w:lvlText w:val="%1.%2.%3."/>
      <w:lvlJc w:val="right"/>
      <w:pPr>
        <w:ind w:left="2160" w:hanging="360"/>
      </w:pPr>
      <w:rPr>
        <w:rFonts w:ascii="Times New Roman" w:eastAsia="Times New Roman" w:hAnsi="Times New Roman" w:cs="Times New Roman"/>
        <w:b w:val="0"/>
        <w:color w:val="38761D"/>
        <w:sz w:val="28"/>
        <w:szCs w:val="28"/>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6" w15:restartNumberingAfterBreak="0">
    <w:nsid w:val="6822246C"/>
    <w:multiLevelType w:val="multilevel"/>
    <w:tmpl w:val="0CE28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98E27E0"/>
    <w:multiLevelType w:val="multilevel"/>
    <w:tmpl w:val="F6246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BFB56B9"/>
    <w:multiLevelType w:val="multilevel"/>
    <w:tmpl w:val="984C4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039078C"/>
    <w:multiLevelType w:val="multilevel"/>
    <w:tmpl w:val="73142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0CE6C4B"/>
    <w:multiLevelType w:val="multilevel"/>
    <w:tmpl w:val="99D28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24C0F95"/>
    <w:multiLevelType w:val="multilevel"/>
    <w:tmpl w:val="D7AEC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28B12A0"/>
    <w:multiLevelType w:val="multilevel"/>
    <w:tmpl w:val="748A6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2E04549"/>
    <w:multiLevelType w:val="multilevel"/>
    <w:tmpl w:val="9806978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63D5068"/>
    <w:multiLevelType w:val="multilevel"/>
    <w:tmpl w:val="BF7EC3F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673646B"/>
    <w:multiLevelType w:val="multilevel"/>
    <w:tmpl w:val="530093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71C4ECB"/>
    <w:multiLevelType w:val="multilevel"/>
    <w:tmpl w:val="F8CC3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AFB4904"/>
    <w:multiLevelType w:val="multilevel"/>
    <w:tmpl w:val="B16E3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F9F3DA4"/>
    <w:multiLevelType w:val="multilevel"/>
    <w:tmpl w:val="F566DF7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6"/>
  </w:num>
  <w:num w:numId="3">
    <w:abstractNumId w:val="44"/>
  </w:num>
  <w:num w:numId="4">
    <w:abstractNumId w:val="48"/>
  </w:num>
  <w:num w:numId="5">
    <w:abstractNumId w:val="0"/>
  </w:num>
  <w:num w:numId="6">
    <w:abstractNumId w:val="14"/>
  </w:num>
  <w:num w:numId="7">
    <w:abstractNumId w:val="66"/>
  </w:num>
  <w:num w:numId="8">
    <w:abstractNumId w:val="28"/>
  </w:num>
  <w:num w:numId="9">
    <w:abstractNumId w:val="53"/>
  </w:num>
  <w:num w:numId="10">
    <w:abstractNumId w:val="45"/>
  </w:num>
  <w:num w:numId="11">
    <w:abstractNumId w:val="3"/>
  </w:num>
  <w:num w:numId="12">
    <w:abstractNumId w:val="40"/>
  </w:num>
  <w:num w:numId="13">
    <w:abstractNumId w:val="11"/>
  </w:num>
  <w:num w:numId="14">
    <w:abstractNumId w:val="68"/>
  </w:num>
  <w:num w:numId="15">
    <w:abstractNumId w:val="46"/>
  </w:num>
  <w:num w:numId="16">
    <w:abstractNumId w:val="37"/>
  </w:num>
  <w:num w:numId="17">
    <w:abstractNumId w:val="38"/>
  </w:num>
  <w:num w:numId="18">
    <w:abstractNumId w:val="56"/>
  </w:num>
  <w:num w:numId="19">
    <w:abstractNumId w:val="21"/>
  </w:num>
  <w:num w:numId="20">
    <w:abstractNumId w:val="61"/>
  </w:num>
  <w:num w:numId="21">
    <w:abstractNumId w:val="42"/>
  </w:num>
  <w:num w:numId="22">
    <w:abstractNumId w:val="29"/>
  </w:num>
  <w:num w:numId="23">
    <w:abstractNumId w:val="32"/>
  </w:num>
  <w:num w:numId="24">
    <w:abstractNumId w:val="65"/>
  </w:num>
  <w:num w:numId="25">
    <w:abstractNumId w:val="31"/>
  </w:num>
  <w:num w:numId="26">
    <w:abstractNumId w:val="33"/>
  </w:num>
  <w:num w:numId="27">
    <w:abstractNumId w:val="17"/>
  </w:num>
  <w:num w:numId="28">
    <w:abstractNumId w:val="54"/>
  </w:num>
  <w:num w:numId="29">
    <w:abstractNumId w:val="49"/>
  </w:num>
  <w:num w:numId="30">
    <w:abstractNumId w:val="9"/>
  </w:num>
  <w:num w:numId="31">
    <w:abstractNumId w:val="20"/>
  </w:num>
  <w:num w:numId="32">
    <w:abstractNumId w:val="67"/>
  </w:num>
  <w:num w:numId="33">
    <w:abstractNumId w:val="34"/>
  </w:num>
  <w:num w:numId="34">
    <w:abstractNumId w:val="26"/>
  </w:num>
  <w:num w:numId="35">
    <w:abstractNumId w:val="35"/>
  </w:num>
  <w:num w:numId="36">
    <w:abstractNumId w:val="62"/>
  </w:num>
  <w:num w:numId="37">
    <w:abstractNumId w:val="12"/>
  </w:num>
  <w:num w:numId="38">
    <w:abstractNumId w:val="52"/>
  </w:num>
  <w:num w:numId="39">
    <w:abstractNumId w:val="24"/>
  </w:num>
  <w:num w:numId="40">
    <w:abstractNumId w:val="15"/>
  </w:num>
  <w:num w:numId="41">
    <w:abstractNumId w:val="16"/>
  </w:num>
  <w:num w:numId="42">
    <w:abstractNumId w:val="47"/>
  </w:num>
  <w:num w:numId="43">
    <w:abstractNumId w:val="39"/>
  </w:num>
  <w:num w:numId="44">
    <w:abstractNumId w:val="2"/>
  </w:num>
  <w:num w:numId="45">
    <w:abstractNumId w:val="23"/>
  </w:num>
  <w:num w:numId="46">
    <w:abstractNumId w:val="4"/>
  </w:num>
  <w:num w:numId="47">
    <w:abstractNumId w:val="58"/>
  </w:num>
  <w:num w:numId="48">
    <w:abstractNumId w:val="13"/>
  </w:num>
  <w:num w:numId="49">
    <w:abstractNumId w:val="22"/>
  </w:num>
  <w:num w:numId="50">
    <w:abstractNumId w:val="43"/>
  </w:num>
  <w:num w:numId="51">
    <w:abstractNumId w:val="60"/>
  </w:num>
  <w:num w:numId="52">
    <w:abstractNumId w:val="1"/>
  </w:num>
  <w:num w:numId="53">
    <w:abstractNumId w:val="10"/>
  </w:num>
  <w:num w:numId="54">
    <w:abstractNumId w:val="57"/>
  </w:num>
  <w:num w:numId="55">
    <w:abstractNumId w:val="64"/>
  </w:num>
  <w:num w:numId="56">
    <w:abstractNumId w:val="55"/>
  </w:num>
  <w:num w:numId="57">
    <w:abstractNumId w:val="63"/>
  </w:num>
  <w:num w:numId="58">
    <w:abstractNumId w:val="27"/>
  </w:num>
  <w:num w:numId="59">
    <w:abstractNumId w:val="59"/>
  </w:num>
  <w:num w:numId="60">
    <w:abstractNumId w:val="19"/>
  </w:num>
  <w:num w:numId="61">
    <w:abstractNumId w:val="51"/>
  </w:num>
  <w:num w:numId="62">
    <w:abstractNumId w:val="30"/>
  </w:num>
  <w:num w:numId="63">
    <w:abstractNumId w:val="25"/>
  </w:num>
  <w:num w:numId="64">
    <w:abstractNumId w:val="18"/>
  </w:num>
  <w:num w:numId="65">
    <w:abstractNumId w:val="8"/>
  </w:num>
  <w:num w:numId="66">
    <w:abstractNumId w:val="5"/>
  </w:num>
  <w:num w:numId="67">
    <w:abstractNumId w:val="50"/>
  </w:num>
  <w:num w:numId="68">
    <w:abstractNumId w:val="41"/>
  </w:num>
  <w:num w:numId="69">
    <w:abstractNumId w:val="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D6"/>
    <w:rsid w:val="007356D6"/>
    <w:rsid w:val="00BB0B18"/>
    <w:rsid w:val="00D7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12D1"/>
  <w15:docId w15:val="{6770E3A2-734E-4F83-AB87-B617A9B5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B0B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youtube.com/watch?v=cKtu3NmtTFs" TargetMode="External"/><Relationship Id="rId21" Type="http://schemas.openxmlformats.org/officeDocument/2006/relationships/hyperlink" Target="http://www.ala.org/aboutala/sites/ala.org.aboutala/files/content/oitp/PDFs/fiber%20brief_%20published.pdf" TargetMode="External"/><Relationship Id="rId42" Type="http://schemas.openxmlformats.org/officeDocument/2006/relationships/hyperlink" Target="https://cdn.ttc.io/src/theglassroom.org/Infosheet/220812_GR_Misinformation_InfoSheet_Poster_EN.pdf" TargetMode="External"/><Relationship Id="rId47" Type="http://schemas.openxmlformats.org/officeDocument/2006/relationships/hyperlink" Target="https://cdn.ttc.io/src/theglassroom.org/Infosheet/220812_TC_GR_Outdoor_Banner_InfoSheet_Portrait_EN.pdf" TargetMode="External"/><Relationship Id="rId63" Type="http://schemas.openxmlformats.org/officeDocument/2006/relationships/hyperlink" Target="https://www.linkedin.com/company/kaust-unesco-chair-on-education-to-connect-the-unconnected/" TargetMode="External"/><Relationship Id="rId68" Type="http://schemas.openxmlformats.org/officeDocument/2006/relationships/hyperlink" Target="https://isoc.kg/news/low-cost-weather-stations-kyrgyzstan-research/" TargetMode="External"/><Relationship Id="rId2" Type="http://schemas.openxmlformats.org/officeDocument/2006/relationships/styles" Target="styles.xml"/><Relationship Id="rId16" Type="http://schemas.microsoft.com/office/2011/relationships/commentsExtended" Target="commentsExtended.xml"/><Relationship Id="rId29" Type="http://schemas.openxmlformats.org/officeDocument/2006/relationships/hyperlink" Target="https://www.arewetogether.com/" TargetMode="External"/><Relationship Id="rId11" Type="http://schemas.openxmlformats.org/officeDocument/2006/relationships/hyperlink" Target="https://www.intgovforum.org/en/filedepot_download/277/26685" TargetMode="External"/><Relationship Id="rId24" Type="http://schemas.openxmlformats.org/officeDocument/2006/relationships/hyperlink" Target="https://www.gob.pe/34785-pilotos-de-intervencion-de-la-alianza-multiactor-para-territorios-digitales-confiables" TargetMode="External"/><Relationship Id="rId32" Type="http://schemas.openxmlformats.org/officeDocument/2006/relationships/hyperlink" Target="https://pollicy.org/resource/swipe-right-for-work/" TargetMode="External"/><Relationship Id="rId37" Type="http://schemas.openxmlformats.org/officeDocument/2006/relationships/hyperlink" Target="https://youtu.be/Y-UU8mmRkHk" TargetMode="External"/><Relationship Id="rId40" Type="http://schemas.openxmlformats.org/officeDocument/2006/relationships/hyperlink" Target="https://www.theglassroom.org/en/misinformation-edition/" TargetMode="External"/><Relationship Id="rId45" Type="http://schemas.openxmlformats.org/officeDocument/2006/relationships/hyperlink" Target="https://cdn.ttc.io/src/theglassroom.org/Infosheet/220812_GR_Infosheet_Easyprint_EN.pdf" TargetMode="External"/><Relationship Id="rId53" Type="http://schemas.openxmlformats.org/officeDocument/2006/relationships/hyperlink" Target="https://itu.int/go/maps" TargetMode="External"/><Relationship Id="rId58" Type="http://schemas.openxmlformats.org/officeDocument/2006/relationships/hyperlink" Target="https://www.itu.int/pub/D-STG-SPEC-2022-V5.2" TargetMode="External"/><Relationship Id="rId66" Type="http://schemas.openxmlformats.org/officeDocument/2006/relationships/hyperlink" Target="https://isoc.kg/news/low-cost-weather-stations-kyrgyzstan-research/" TargetMode="External"/><Relationship Id="rId5" Type="http://schemas.openxmlformats.org/officeDocument/2006/relationships/footnotes" Target="footnotes.xml"/><Relationship Id="rId61" Type="http://schemas.openxmlformats.org/officeDocument/2006/relationships/hyperlink" Target="https://www.wipo.int/ip-development/en/agenda/ip_mobile_apps/" TargetMode="External"/><Relationship Id="rId19" Type="http://schemas.openxmlformats.org/officeDocument/2006/relationships/hyperlink" Target="http://bbpmag.com/wordpress2/2018/09/libraries-whitespace-project-wins-imls-leadership-grant-2/" TargetMode="External"/><Relationship Id="rId14" Type="http://schemas.openxmlformats.org/officeDocument/2006/relationships/hyperlink" Target="https://intgovforum.org/en/content/igf-2024" TargetMode="External"/><Relationship Id="rId22" Type="http://schemas.openxmlformats.org/officeDocument/2006/relationships/hyperlink" Target="https://gigabitlibrariesnetwork.wildapricot.org/SecondNets-Consortium" TargetMode="External"/><Relationship Id="rId27" Type="http://schemas.openxmlformats.org/officeDocument/2006/relationships/hyperlink" Target="https://www.youtube.com/watch?v=cKtu3NmtTFs" TargetMode="External"/><Relationship Id="rId30" Type="http://schemas.openxmlformats.org/officeDocument/2006/relationships/hyperlink" Target="https://www.youtube.com/watch?v=qsvrIvk7Ktc" TargetMode="External"/><Relationship Id="rId35" Type="http://schemas.openxmlformats.org/officeDocument/2006/relationships/hyperlink" Target="https://www.eifl.net/eifl-in-action/capacity-building-public-librarians-uganda" TargetMode="External"/><Relationship Id="rId43" Type="http://schemas.openxmlformats.org/officeDocument/2006/relationships/hyperlink" Target="https://cdn.ttc.io/src/theglassroom.org/Infosheet/220812_GR_Misinformation_InfoSheet_Poster_EN.pdf" TargetMode="External"/><Relationship Id="rId48" Type="http://schemas.openxmlformats.org/officeDocument/2006/relationships/hyperlink" Target="https://datadetoxkit.org/en/home" TargetMode="External"/><Relationship Id="rId56" Type="http://schemas.openxmlformats.org/officeDocument/2006/relationships/hyperlink" Target="https://drive.google.com/open?id=11OX2LEXxzll3N7wOZ21iDxIq-FBda_K3EJsmy6tMbBI" TargetMode="External"/><Relationship Id="rId64" Type="http://schemas.openxmlformats.org/officeDocument/2006/relationships/hyperlink" Target="https://www.pta.gov.pk/assets/media/digital_gender_inclusion_strategy_28-02-2024.pdf" TargetMode="External"/><Relationship Id="rId69" Type="http://schemas.openxmlformats.org/officeDocument/2006/relationships/hyperlink" Target="https://globaldigitalinclusion.org/2024/07/15/the-state-of-meaningful-connectivity-in-brazil-measuring-quality-and-revealing-hidden-gaps/" TargetMode="External"/><Relationship Id="rId8" Type="http://schemas.openxmlformats.org/officeDocument/2006/relationships/hyperlink" Target="https://www.intgovforum.org/en/filedepot_download/255/24314" TargetMode="External"/><Relationship Id="rId51" Type="http://schemas.openxmlformats.org/officeDocument/2006/relationships/hyperlink" Target="https://theglassroom.org/workshops/"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intgovforum.org/en/filedepot_download/277/26685" TargetMode="External"/><Relationship Id="rId17" Type="http://schemas.openxmlformats.org/officeDocument/2006/relationships/hyperlink" Target="https://a4ai.org/wp-content/uploads/2021/10/Policy-Guide-Towards-Meaningful-Connectivity.pdf" TargetMode="External"/><Relationship Id="rId25" Type="http://schemas.openxmlformats.org/officeDocument/2006/relationships/hyperlink" Target="https://www.gob.pe/34785-pilotos-de-intervencion-de-la-alianza-multiactor-para-territorios-digitales-confiables" TargetMode="External"/><Relationship Id="rId33" Type="http://schemas.openxmlformats.org/officeDocument/2006/relationships/hyperlink" Target="https://pollicy.org/resource/swipe-right-for-work/" TargetMode="External"/><Relationship Id="rId38" Type="http://schemas.openxmlformats.org/officeDocument/2006/relationships/hyperlink" Target="https://youtu.be/Y-UU8mmRkHk" TargetMode="External"/><Relationship Id="rId46" Type="http://schemas.openxmlformats.org/officeDocument/2006/relationships/hyperlink" Target="https://cdn.ttc.io/src/theglassroom.org/Infosheet/220812_TC_GR_Outdoor_Banner_InfoSheet_Portrait_EN.pdf" TargetMode="External"/><Relationship Id="rId59" Type="http://schemas.openxmlformats.org/officeDocument/2006/relationships/hyperlink" Target="https://academy.itu.int/itu-d/projects-activities/curriculum-development/smtp" TargetMode="External"/><Relationship Id="rId67" Type="http://schemas.openxmlformats.org/officeDocument/2006/relationships/hyperlink" Target="https://isoc.kg/news/low-cost-weather-stations-kyrgyzstan-research/" TargetMode="External"/><Relationship Id="rId20" Type="http://schemas.openxmlformats.org/officeDocument/2006/relationships/hyperlink" Target="http://giglibraries.net/page-1712342" TargetMode="External"/><Relationship Id="rId41" Type="http://schemas.openxmlformats.org/officeDocument/2006/relationships/hyperlink" Target="https://www.theglassroom.org/en/misinformation-edition/" TargetMode="External"/><Relationship Id="rId54" Type="http://schemas.openxmlformats.org/officeDocument/2006/relationships/hyperlink" Target="https://www.itu.int/en/myitu/Publications/2020/12/16/09/24/Last-mile-Internet-Connectivity-Solutions-Guide-2020" TargetMode="External"/><Relationship Id="rId62" Type="http://schemas.openxmlformats.org/officeDocument/2006/relationships/hyperlink" Target="https://theconversation.com/a-third-of-the-worlds-population-lacks-internet-connectivity-airborne-communications-stations-could-change-that-234986"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mments" Target="comments.xml"/><Relationship Id="rId23" Type="http://schemas.openxmlformats.org/officeDocument/2006/relationships/hyperlink" Target="https://gigabitlibrariesnetwork.wildapricot.org/SecondNets-Consortium" TargetMode="External"/><Relationship Id="rId28" Type="http://schemas.openxmlformats.org/officeDocument/2006/relationships/hyperlink" Target="https://www.arewetogether.com/" TargetMode="External"/><Relationship Id="rId36" Type="http://schemas.openxmlformats.org/officeDocument/2006/relationships/hyperlink" Target="https://www.eifl.net/eifl-in-action/digital-skills-and-inclusion-through-libraries-uganda" TargetMode="External"/><Relationship Id="rId49" Type="http://schemas.openxmlformats.org/officeDocument/2006/relationships/hyperlink" Target="https://datadetoxkit.org/en/home" TargetMode="External"/><Relationship Id="rId57" Type="http://schemas.openxmlformats.org/officeDocument/2006/relationships/hyperlink" Target="https://academy.itu.int/training-courses/full-catalogue/emerging-technology-last-mile-connectivity" TargetMode="External"/><Relationship Id="rId10" Type="http://schemas.openxmlformats.org/officeDocument/2006/relationships/hyperlink" Target="https://intgovforum.org/en/content/pnma-repository" TargetMode="External"/><Relationship Id="rId31" Type="http://schemas.openxmlformats.org/officeDocument/2006/relationships/hyperlink" Target="https://www.youtube.com/watch?v=qsvrIvk7Ktc" TargetMode="External"/><Relationship Id="rId44" Type="http://schemas.openxmlformats.org/officeDocument/2006/relationships/hyperlink" Target="https://cdn.ttc.io/src/theglassroom.org/Infosheet/220812_GR_Infosheet_Easyprint_EN.pdf" TargetMode="External"/><Relationship Id="rId52" Type="http://schemas.openxmlformats.org/officeDocument/2006/relationships/hyperlink" Target="https://bbmaps.itu.int/" TargetMode="External"/><Relationship Id="rId60" Type="http://schemas.openxmlformats.org/officeDocument/2006/relationships/hyperlink" Target="https://www.groupm.com/newsroom/groupm-rallies-responsible-investment-as-go-to-market-standard-redefines-scale/" TargetMode="External"/><Relationship Id="rId65" Type="http://schemas.openxmlformats.org/officeDocument/2006/relationships/hyperlink" Target="https://www.itu.int/itu-d/sites/projectumc/"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govforum.org/en/content/pnma-repository" TargetMode="External"/><Relationship Id="rId13" Type="http://schemas.openxmlformats.org/officeDocument/2006/relationships/hyperlink" Target="https://intgovforum.org/en/content/igf-2024" TargetMode="External"/><Relationship Id="rId18" Type="http://schemas.openxmlformats.org/officeDocument/2006/relationships/hyperlink" Target="https://www.intgovforum.org/en/content/igf-2023-policy-network-on-meaningful-access-meaningful-access-to-include-and-connect" TargetMode="External"/><Relationship Id="rId39" Type="http://schemas.openxmlformats.org/officeDocument/2006/relationships/hyperlink" Target="https://www.eifl.net/eifl-in-action/digital-skills-and-inclusion-through-libraries-uganda" TargetMode="External"/><Relationship Id="rId34" Type="http://schemas.openxmlformats.org/officeDocument/2006/relationships/hyperlink" Target="https://www.eifl.net/eifl-in-action/capacity-building-public-librarians-uganda" TargetMode="External"/><Relationship Id="rId50" Type="http://schemas.openxmlformats.org/officeDocument/2006/relationships/hyperlink" Target="https://theglassroom.org/workshops/" TargetMode="External"/><Relationship Id="rId55" Type="http://schemas.openxmlformats.org/officeDocument/2006/relationships/hyperlink" Target="https://connectschools.online/" TargetMode="External"/><Relationship Id="rId7" Type="http://schemas.openxmlformats.org/officeDocument/2006/relationships/hyperlink" Target="https://www.intgovforum.org/en/filedepot_download/255/24314" TargetMode="External"/><Relationship Id="rId7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tgovforum.org/en/content/igf-2023-policy-network-on-meaningful-access" TargetMode="External"/><Relationship Id="rId2" Type="http://schemas.openxmlformats.org/officeDocument/2006/relationships/hyperlink" Target="http://www.intgovforum.org" TargetMode="External"/><Relationship Id="rId1" Type="http://schemas.openxmlformats.org/officeDocument/2006/relationships/hyperlink" Target="https://unctad.org/en/PublicationsLibrary/ares70d125_en.pdf" TargetMode="External"/><Relationship Id="rId4" Type="http://schemas.openxmlformats.org/officeDocument/2006/relationships/hyperlink" Target="https://intgovforum.org/en/filedepot_download/223/207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28484</Words>
  <Characters>162362</Characters>
  <Application>Microsoft Office Word</Application>
  <DocSecurity>0</DocSecurity>
  <Lines>1353</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2024-11-14T21:32:00Z</dcterms:created>
  <dcterms:modified xsi:type="dcterms:W3CDTF">2024-11-14T21:32:00Z</dcterms:modified>
</cp:coreProperties>
</file>